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DA" w:rsidRDefault="008329DA" w:rsidP="008329DA">
      <w:r>
        <w:t xml:space="preserve">                                                                           </w:t>
      </w:r>
      <w:r>
        <w:rPr>
          <w:noProof/>
        </w:rPr>
        <w:drawing>
          <wp:inline distT="0" distB="0" distL="0" distR="0">
            <wp:extent cx="476250" cy="590550"/>
            <wp:effectExtent l="19050" t="0" r="0" b="0"/>
            <wp:docPr id="1" name="Рисунок 1"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4"/>
                    <a:srcRect/>
                    <a:stretch>
                      <a:fillRect/>
                    </a:stretch>
                  </pic:blipFill>
                  <pic:spPr bwMode="auto">
                    <a:xfrm>
                      <a:off x="0" y="0"/>
                      <a:ext cx="476250" cy="590550"/>
                    </a:xfrm>
                    <a:prstGeom prst="rect">
                      <a:avLst/>
                    </a:prstGeom>
                    <a:noFill/>
                    <a:ln w="9525">
                      <a:noFill/>
                      <a:miter lim="800000"/>
                      <a:headEnd/>
                      <a:tailEnd/>
                    </a:ln>
                  </pic:spPr>
                </pic:pic>
              </a:graphicData>
            </a:graphic>
          </wp:inline>
        </w:drawing>
      </w:r>
      <w:r w:rsidRPr="00DB1609">
        <w:rPr>
          <w:b/>
        </w:rPr>
        <w:t xml:space="preserve">      </w:t>
      </w:r>
    </w:p>
    <w:p w:rsidR="008329DA" w:rsidRPr="00642D21" w:rsidRDefault="008329DA" w:rsidP="008329DA">
      <w:pPr>
        <w:rPr>
          <w:rFonts w:ascii="Arial" w:hAnsi="Arial" w:cs="Arial"/>
          <w:sz w:val="24"/>
          <w:szCs w:val="24"/>
        </w:rPr>
      </w:pPr>
      <w:r w:rsidRPr="00642D21">
        <w:rPr>
          <w:rFonts w:ascii="Arial" w:hAnsi="Arial" w:cs="Arial"/>
          <w:sz w:val="24"/>
          <w:szCs w:val="24"/>
        </w:rPr>
        <w:t xml:space="preserve">                              Мельничный сельский Совет депутатов</w:t>
      </w:r>
    </w:p>
    <w:p w:rsidR="008329DA" w:rsidRDefault="008329DA" w:rsidP="008329DA">
      <w:pPr>
        <w:rPr>
          <w:rFonts w:ascii="Arial" w:hAnsi="Arial" w:cs="Arial"/>
          <w:sz w:val="24"/>
          <w:szCs w:val="24"/>
        </w:rPr>
      </w:pPr>
      <w:r w:rsidRPr="00642D21">
        <w:rPr>
          <w:rFonts w:ascii="Arial" w:hAnsi="Arial" w:cs="Arial"/>
          <w:sz w:val="24"/>
          <w:szCs w:val="24"/>
        </w:rPr>
        <w:t xml:space="preserve">                             Ирбейского  района  Красноярского края</w:t>
      </w:r>
    </w:p>
    <w:p w:rsidR="008329DA" w:rsidRDefault="008329DA" w:rsidP="008329DA">
      <w:pPr>
        <w:rPr>
          <w:rFonts w:ascii="Arial" w:hAnsi="Arial" w:cs="Arial"/>
          <w:sz w:val="24"/>
          <w:szCs w:val="24"/>
        </w:rPr>
      </w:pPr>
    </w:p>
    <w:p w:rsidR="008329DA" w:rsidRPr="00A50CEC" w:rsidRDefault="008329DA" w:rsidP="008329DA">
      <w:pPr>
        <w:jc w:val="center"/>
        <w:rPr>
          <w:rFonts w:ascii="Arial" w:hAnsi="Arial" w:cs="Arial"/>
        </w:rPr>
      </w:pPr>
      <w:r>
        <w:rPr>
          <w:rFonts w:ascii="Arial" w:hAnsi="Arial" w:cs="Arial"/>
        </w:rPr>
        <w:t>РЕШЕНИЕ</w:t>
      </w:r>
    </w:p>
    <w:p w:rsidR="008329DA" w:rsidRPr="00A50CEC" w:rsidRDefault="008329DA" w:rsidP="008329DA">
      <w:pPr>
        <w:rPr>
          <w:rFonts w:ascii="Arial" w:hAnsi="Arial" w:cs="Arial"/>
        </w:rPr>
      </w:pPr>
    </w:p>
    <w:p w:rsidR="008329DA" w:rsidRPr="00642D21" w:rsidRDefault="008329DA" w:rsidP="008329DA">
      <w:pPr>
        <w:rPr>
          <w:rFonts w:ascii="Arial" w:hAnsi="Arial" w:cs="Arial"/>
          <w:sz w:val="24"/>
          <w:szCs w:val="24"/>
        </w:rPr>
      </w:pPr>
      <w:r>
        <w:rPr>
          <w:rFonts w:ascii="Arial" w:hAnsi="Arial" w:cs="Arial"/>
          <w:sz w:val="24"/>
          <w:szCs w:val="24"/>
        </w:rPr>
        <w:t>23</w:t>
      </w:r>
      <w:r w:rsidRPr="00642D21">
        <w:rPr>
          <w:rFonts w:ascii="Arial" w:hAnsi="Arial" w:cs="Arial"/>
          <w:sz w:val="24"/>
          <w:szCs w:val="24"/>
        </w:rPr>
        <w:t xml:space="preserve">.11.2022г.                                с. Мельничное                                           № </w:t>
      </w:r>
      <w:r>
        <w:rPr>
          <w:rFonts w:ascii="Arial" w:hAnsi="Arial" w:cs="Arial"/>
          <w:sz w:val="24"/>
          <w:szCs w:val="24"/>
        </w:rPr>
        <w:t>28</w:t>
      </w:r>
      <w:r w:rsidRPr="00642D21">
        <w:rPr>
          <w:rFonts w:ascii="Arial" w:hAnsi="Arial" w:cs="Arial"/>
          <w:sz w:val="24"/>
          <w:szCs w:val="24"/>
        </w:rPr>
        <w:t xml:space="preserve"> -</w:t>
      </w:r>
      <w:proofErr w:type="spellStart"/>
      <w:proofErr w:type="gramStart"/>
      <w:r w:rsidRPr="00642D21">
        <w:rPr>
          <w:rFonts w:ascii="Arial" w:hAnsi="Arial" w:cs="Arial"/>
          <w:sz w:val="24"/>
          <w:szCs w:val="24"/>
        </w:rPr>
        <w:t>р</w:t>
      </w:r>
      <w:proofErr w:type="spellEnd"/>
      <w:proofErr w:type="gramEnd"/>
    </w:p>
    <w:p w:rsidR="008329DA" w:rsidRPr="00A50CEC" w:rsidRDefault="008329DA" w:rsidP="008329DA">
      <w:pPr>
        <w:rPr>
          <w:rFonts w:ascii="Arial" w:hAnsi="Arial" w:cs="Arial"/>
        </w:rPr>
      </w:pPr>
    </w:p>
    <w:p w:rsidR="008329DA" w:rsidRPr="00642D21" w:rsidRDefault="008329DA" w:rsidP="008329DA">
      <w:pPr>
        <w:jc w:val="both"/>
        <w:rPr>
          <w:rFonts w:ascii="Arial" w:hAnsi="Arial" w:cs="Arial"/>
          <w:sz w:val="24"/>
          <w:szCs w:val="24"/>
        </w:rPr>
      </w:pPr>
      <w:r w:rsidRPr="00642D21">
        <w:rPr>
          <w:rFonts w:ascii="Arial" w:hAnsi="Arial" w:cs="Arial"/>
          <w:sz w:val="24"/>
          <w:szCs w:val="24"/>
        </w:rPr>
        <w:t xml:space="preserve">Об установлении ставок    налога  на  имущество  физических  лиц  на территории  Мельничного  сельсовета Ирбейского района  Красноярского края                                                                                                                         </w:t>
      </w:r>
    </w:p>
    <w:p w:rsidR="008329DA" w:rsidRPr="00AF2468" w:rsidRDefault="008329DA" w:rsidP="008329DA">
      <w:pPr>
        <w:rPr>
          <w:rFonts w:ascii="Arial" w:hAnsi="Arial" w:cs="Arial"/>
        </w:rPr>
      </w:pPr>
    </w:p>
    <w:p w:rsidR="008329DA" w:rsidRPr="00642D21" w:rsidRDefault="008329DA" w:rsidP="008329DA">
      <w:pPr>
        <w:ind w:firstLine="708"/>
        <w:jc w:val="both"/>
        <w:rPr>
          <w:rFonts w:ascii="Arial" w:hAnsi="Arial" w:cs="Arial"/>
          <w:sz w:val="24"/>
          <w:szCs w:val="24"/>
        </w:rPr>
      </w:pPr>
      <w:proofErr w:type="gramStart"/>
      <w:r w:rsidRPr="00642D21">
        <w:rPr>
          <w:rFonts w:ascii="Arial" w:hAnsi="Arial" w:cs="Arial"/>
          <w:sz w:val="24"/>
          <w:szCs w:val="24"/>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Устава Мельничного сельсовета Ирбейского района</w:t>
      </w:r>
      <w:proofErr w:type="gramEnd"/>
      <w:r w:rsidRPr="00642D21">
        <w:rPr>
          <w:rFonts w:ascii="Arial" w:hAnsi="Arial" w:cs="Arial"/>
          <w:sz w:val="24"/>
          <w:szCs w:val="24"/>
        </w:rPr>
        <w:t xml:space="preserve"> Красноярского края  Мельничный  сельский  Совет депутатов</w:t>
      </w:r>
      <w:r>
        <w:rPr>
          <w:rFonts w:ascii="Arial" w:hAnsi="Arial" w:cs="Arial"/>
          <w:sz w:val="24"/>
          <w:szCs w:val="24"/>
        </w:rPr>
        <w:t xml:space="preserve"> Ирбейского района Красноярского края</w:t>
      </w:r>
      <w:r w:rsidRPr="00642D21">
        <w:rPr>
          <w:rFonts w:ascii="Arial" w:hAnsi="Arial" w:cs="Arial"/>
          <w:sz w:val="24"/>
          <w:szCs w:val="24"/>
        </w:rPr>
        <w:t xml:space="preserve">   РЕШИЛ:</w:t>
      </w:r>
    </w:p>
    <w:p w:rsidR="008329DA" w:rsidRPr="00642D21" w:rsidRDefault="008329DA" w:rsidP="008329DA">
      <w:pPr>
        <w:pStyle w:val="a4"/>
        <w:jc w:val="both"/>
        <w:rPr>
          <w:rFonts w:ascii="Arial" w:hAnsi="Arial" w:cs="Arial"/>
          <w:sz w:val="24"/>
          <w:szCs w:val="24"/>
        </w:rPr>
      </w:pPr>
      <w:r w:rsidRPr="00642D21">
        <w:rPr>
          <w:rFonts w:ascii="Arial" w:hAnsi="Arial" w:cs="Arial"/>
          <w:sz w:val="24"/>
          <w:szCs w:val="24"/>
        </w:rPr>
        <w:t xml:space="preserve">           1.  Установить налог на имущество физических лиц на территории муниципального образования Мельничный сельсовет</w:t>
      </w:r>
      <w:r>
        <w:rPr>
          <w:rFonts w:ascii="Arial" w:hAnsi="Arial" w:cs="Arial"/>
          <w:sz w:val="24"/>
          <w:szCs w:val="24"/>
        </w:rPr>
        <w:t xml:space="preserve"> Ирбейского района Красноярского края</w:t>
      </w:r>
      <w:proofErr w:type="gramStart"/>
      <w:r>
        <w:rPr>
          <w:rFonts w:ascii="Arial" w:hAnsi="Arial" w:cs="Arial"/>
          <w:sz w:val="24"/>
          <w:szCs w:val="24"/>
        </w:rPr>
        <w:t xml:space="preserve"> </w:t>
      </w:r>
      <w:r w:rsidRPr="00642D21">
        <w:rPr>
          <w:rFonts w:ascii="Arial" w:hAnsi="Arial" w:cs="Arial"/>
          <w:sz w:val="24"/>
          <w:szCs w:val="24"/>
        </w:rPr>
        <w:t>.</w:t>
      </w:r>
      <w:proofErr w:type="gramEnd"/>
      <w:r w:rsidRPr="00642D21">
        <w:rPr>
          <w:rFonts w:ascii="Arial" w:hAnsi="Arial" w:cs="Arial"/>
          <w:sz w:val="24"/>
          <w:szCs w:val="24"/>
        </w:rPr>
        <w:t xml:space="preserve">                                                                        </w:t>
      </w:r>
    </w:p>
    <w:p w:rsidR="008329DA" w:rsidRPr="00642D21" w:rsidRDefault="008329DA" w:rsidP="008329DA">
      <w:pPr>
        <w:pStyle w:val="a4"/>
        <w:jc w:val="both"/>
        <w:rPr>
          <w:rFonts w:ascii="Arial" w:hAnsi="Arial" w:cs="Arial"/>
          <w:sz w:val="24"/>
          <w:szCs w:val="24"/>
        </w:rPr>
      </w:pPr>
      <w:r w:rsidRPr="00642D21">
        <w:rPr>
          <w:rFonts w:ascii="Arial" w:hAnsi="Arial" w:cs="Arial"/>
          <w:sz w:val="24"/>
          <w:szCs w:val="24"/>
        </w:rPr>
        <w:t xml:space="preserve">           2.  Налоговые ставки устанавливаются в следующих размерах от кадастровой стоимости: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6962"/>
        <w:gridCol w:w="1808"/>
      </w:tblGrid>
      <w:tr w:rsidR="008329DA" w:rsidRPr="00642D21" w:rsidTr="006852D2">
        <w:tc>
          <w:tcPr>
            <w:tcW w:w="801"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w:t>
            </w:r>
            <w:proofErr w:type="spellStart"/>
            <w:proofErr w:type="gramStart"/>
            <w:r w:rsidRPr="00642D21">
              <w:rPr>
                <w:rFonts w:ascii="Arial" w:hAnsi="Arial" w:cs="Arial"/>
                <w:sz w:val="24"/>
                <w:szCs w:val="24"/>
              </w:rPr>
              <w:t>п</w:t>
            </w:r>
            <w:proofErr w:type="spellEnd"/>
            <w:proofErr w:type="gramEnd"/>
            <w:r w:rsidRPr="00642D21">
              <w:rPr>
                <w:rFonts w:ascii="Arial" w:hAnsi="Arial" w:cs="Arial"/>
                <w:sz w:val="24"/>
                <w:szCs w:val="24"/>
              </w:rPr>
              <w:t>/</w:t>
            </w:r>
            <w:proofErr w:type="spellStart"/>
            <w:r w:rsidRPr="00642D21">
              <w:rPr>
                <w:rFonts w:ascii="Arial" w:hAnsi="Arial" w:cs="Arial"/>
                <w:sz w:val="24"/>
                <w:szCs w:val="24"/>
              </w:rPr>
              <w:t>п</w:t>
            </w:r>
            <w:proofErr w:type="spellEnd"/>
          </w:p>
        </w:tc>
        <w:tc>
          <w:tcPr>
            <w:tcW w:w="6962"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                           Объект налогообложения</w:t>
            </w:r>
          </w:p>
        </w:tc>
        <w:tc>
          <w:tcPr>
            <w:tcW w:w="1808"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Налоговая ставка в (процентах)</w:t>
            </w:r>
          </w:p>
        </w:tc>
      </w:tr>
      <w:tr w:rsidR="008329DA" w:rsidRPr="00642D21" w:rsidTr="006852D2">
        <w:tc>
          <w:tcPr>
            <w:tcW w:w="801"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1</w:t>
            </w:r>
          </w:p>
        </w:tc>
        <w:tc>
          <w:tcPr>
            <w:tcW w:w="6962"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Объект </w:t>
            </w:r>
            <w:proofErr w:type="gramStart"/>
            <w:r w:rsidRPr="00642D21">
              <w:rPr>
                <w:rFonts w:ascii="Arial" w:hAnsi="Arial" w:cs="Arial"/>
                <w:sz w:val="24"/>
                <w:szCs w:val="24"/>
              </w:rPr>
              <w:t>налогообложения</w:t>
            </w:r>
            <w:proofErr w:type="gramEnd"/>
            <w:r w:rsidRPr="00642D21">
              <w:rPr>
                <w:rFonts w:ascii="Arial" w:hAnsi="Arial" w:cs="Arial"/>
                <w:sz w:val="24"/>
                <w:szCs w:val="24"/>
              </w:rPr>
              <w:t xml:space="preserve"> кадастровая стоимость которого не превышает  300 миллионов рублей (включительно)</w:t>
            </w:r>
          </w:p>
        </w:tc>
        <w:tc>
          <w:tcPr>
            <w:tcW w:w="1808"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        0,1</w:t>
            </w:r>
          </w:p>
        </w:tc>
      </w:tr>
      <w:tr w:rsidR="008329DA" w:rsidRPr="00642D21" w:rsidTr="006852D2">
        <w:trPr>
          <w:trHeight w:val="595"/>
        </w:trPr>
        <w:tc>
          <w:tcPr>
            <w:tcW w:w="801"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1.1</w:t>
            </w:r>
          </w:p>
        </w:tc>
        <w:tc>
          <w:tcPr>
            <w:tcW w:w="6962"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жилой дом (часть жилого дома);</w:t>
            </w:r>
          </w:p>
          <w:p w:rsidR="008329DA" w:rsidRPr="00642D21" w:rsidRDefault="008329DA" w:rsidP="006852D2">
            <w:pPr>
              <w:jc w:val="both"/>
              <w:rPr>
                <w:rFonts w:ascii="Arial" w:hAnsi="Arial" w:cs="Arial"/>
                <w:sz w:val="24"/>
                <w:szCs w:val="24"/>
              </w:rPr>
            </w:pPr>
          </w:p>
        </w:tc>
        <w:tc>
          <w:tcPr>
            <w:tcW w:w="1808"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        0,1</w:t>
            </w:r>
          </w:p>
        </w:tc>
      </w:tr>
      <w:tr w:rsidR="008329DA" w:rsidRPr="00642D21" w:rsidTr="006852D2">
        <w:trPr>
          <w:trHeight w:val="131"/>
        </w:trPr>
        <w:tc>
          <w:tcPr>
            <w:tcW w:w="801"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1.2</w:t>
            </w:r>
          </w:p>
        </w:tc>
        <w:tc>
          <w:tcPr>
            <w:tcW w:w="6962"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Квартира (часть квартиры);</w:t>
            </w:r>
          </w:p>
          <w:p w:rsidR="008329DA" w:rsidRPr="00642D21" w:rsidRDefault="008329DA" w:rsidP="006852D2">
            <w:pPr>
              <w:jc w:val="both"/>
              <w:rPr>
                <w:rFonts w:ascii="Arial" w:hAnsi="Arial" w:cs="Arial"/>
                <w:sz w:val="24"/>
                <w:szCs w:val="24"/>
              </w:rPr>
            </w:pPr>
          </w:p>
        </w:tc>
        <w:tc>
          <w:tcPr>
            <w:tcW w:w="1808"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lastRenderedPageBreak/>
              <w:t xml:space="preserve">        0,1</w:t>
            </w:r>
          </w:p>
        </w:tc>
      </w:tr>
      <w:tr w:rsidR="008329DA" w:rsidRPr="00642D21" w:rsidTr="006852D2">
        <w:trPr>
          <w:trHeight w:val="592"/>
        </w:trPr>
        <w:tc>
          <w:tcPr>
            <w:tcW w:w="801"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lastRenderedPageBreak/>
              <w:t>1.3</w:t>
            </w:r>
          </w:p>
        </w:tc>
        <w:tc>
          <w:tcPr>
            <w:tcW w:w="6962"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комната;</w:t>
            </w:r>
          </w:p>
          <w:p w:rsidR="008329DA" w:rsidRPr="00642D21" w:rsidRDefault="008329DA" w:rsidP="006852D2">
            <w:pPr>
              <w:jc w:val="both"/>
              <w:rPr>
                <w:rFonts w:ascii="Arial" w:hAnsi="Arial" w:cs="Arial"/>
                <w:sz w:val="24"/>
                <w:szCs w:val="24"/>
              </w:rPr>
            </w:pPr>
          </w:p>
        </w:tc>
        <w:tc>
          <w:tcPr>
            <w:tcW w:w="1808"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        0,1</w:t>
            </w:r>
          </w:p>
        </w:tc>
      </w:tr>
      <w:tr w:rsidR="008329DA" w:rsidRPr="00642D21" w:rsidTr="006852D2">
        <w:trPr>
          <w:trHeight w:val="1116"/>
        </w:trPr>
        <w:tc>
          <w:tcPr>
            <w:tcW w:w="801"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1.4</w:t>
            </w:r>
          </w:p>
        </w:tc>
        <w:tc>
          <w:tcPr>
            <w:tcW w:w="6962"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объект незавершенного строительства в случае, если проектируемым назначением такого объекта является жилой дом;</w:t>
            </w:r>
          </w:p>
          <w:p w:rsidR="008329DA" w:rsidRPr="00642D21" w:rsidRDefault="008329DA" w:rsidP="006852D2">
            <w:pPr>
              <w:jc w:val="both"/>
              <w:rPr>
                <w:rFonts w:ascii="Arial" w:hAnsi="Arial" w:cs="Arial"/>
                <w:sz w:val="24"/>
                <w:szCs w:val="24"/>
              </w:rPr>
            </w:pPr>
          </w:p>
        </w:tc>
        <w:tc>
          <w:tcPr>
            <w:tcW w:w="1808"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        0,1</w:t>
            </w:r>
          </w:p>
        </w:tc>
      </w:tr>
      <w:tr w:rsidR="008329DA" w:rsidRPr="00642D21" w:rsidTr="006852D2">
        <w:tc>
          <w:tcPr>
            <w:tcW w:w="801"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1.5</w:t>
            </w:r>
          </w:p>
        </w:tc>
        <w:tc>
          <w:tcPr>
            <w:tcW w:w="6962"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единый недвижимый комплекс, в состав которого входит хотя бы один жилой дом;</w:t>
            </w:r>
          </w:p>
          <w:p w:rsidR="008329DA" w:rsidRPr="00642D21" w:rsidRDefault="008329DA" w:rsidP="006852D2">
            <w:pPr>
              <w:jc w:val="both"/>
              <w:rPr>
                <w:rFonts w:ascii="Arial" w:hAnsi="Arial" w:cs="Arial"/>
                <w:sz w:val="24"/>
                <w:szCs w:val="24"/>
              </w:rPr>
            </w:pPr>
          </w:p>
        </w:tc>
        <w:tc>
          <w:tcPr>
            <w:tcW w:w="1808"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        0,1</w:t>
            </w:r>
          </w:p>
        </w:tc>
      </w:tr>
      <w:tr w:rsidR="008329DA" w:rsidRPr="00642D21" w:rsidTr="006852D2">
        <w:trPr>
          <w:trHeight w:val="1188"/>
        </w:trPr>
        <w:tc>
          <w:tcPr>
            <w:tcW w:w="801"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1.6</w:t>
            </w:r>
          </w:p>
        </w:tc>
        <w:tc>
          <w:tcPr>
            <w:tcW w:w="6962"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гараж, </w:t>
            </w:r>
            <w:proofErr w:type="spellStart"/>
            <w:r w:rsidRPr="00642D21">
              <w:rPr>
                <w:rFonts w:ascii="Arial" w:hAnsi="Arial" w:cs="Arial"/>
                <w:sz w:val="24"/>
                <w:szCs w:val="24"/>
              </w:rPr>
              <w:t>машино-место</w:t>
            </w:r>
            <w:proofErr w:type="spellEnd"/>
            <w:r w:rsidRPr="00642D21">
              <w:rPr>
                <w:rFonts w:ascii="Arial" w:hAnsi="Arial" w:cs="Arial"/>
                <w:sz w:val="24"/>
                <w:szCs w:val="24"/>
              </w:rPr>
              <w:t>, в том числе расположенный в объектах налогообложения, указанных в подпункте 2 пункта 2 статьи 406 Налогового кодекса РФ;</w:t>
            </w:r>
          </w:p>
          <w:p w:rsidR="008329DA" w:rsidRPr="00642D21" w:rsidRDefault="008329DA" w:rsidP="006852D2">
            <w:pPr>
              <w:jc w:val="both"/>
              <w:rPr>
                <w:rFonts w:ascii="Arial" w:hAnsi="Arial" w:cs="Arial"/>
                <w:sz w:val="24"/>
                <w:szCs w:val="24"/>
              </w:rPr>
            </w:pPr>
          </w:p>
        </w:tc>
        <w:tc>
          <w:tcPr>
            <w:tcW w:w="1808"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        0,1</w:t>
            </w:r>
          </w:p>
        </w:tc>
      </w:tr>
      <w:tr w:rsidR="008329DA" w:rsidRPr="00642D21" w:rsidTr="006852D2">
        <w:tc>
          <w:tcPr>
            <w:tcW w:w="801"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1.7</w:t>
            </w:r>
          </w:p>
        </w:tc>
        <w:tc>
          <w:tcPr>
            <w:tcW w:w="6962"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хозяйственные строения или сооружения, площадь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808"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        0,1</w:t>
            </w:r>
          </w:p>
        </w:tc>
      </w:tr>
      <w:tr w:rsidR="008329DA" w:rsidRPr="00642D21" w:rsidTr="006852D2">
        <w:tc>
          <w:tcPr>
            <w:tcW w:w="801"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2.</w:t>
            </w:r>
          </w:p>
        </w:tc>
        <w:tc>
          <w:tcPr>
            <w:tcW w:w="6962"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Объект налогообложения, кадастровая стоимость которого превышает 300 миллионов рублей, а также объект налогообложения, включенный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w:t>
            </w:r>
          </w:p>
        </w:tc>
        <w:tc>
          <w:tcPr>
            <w:tcW w:w="1808"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            2</w:t>
            </w:r>
          </w:p>
        </w:tc>
      </w:tr>
      <w:tr w:rsidR="008329DA" w:rsidRPr="00642D21" w:rsidTr="006852D2">
        <w:tc>
          <w:tcPr>
            <w:tcW w:w="801"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3.</w:t>
            </w:r>
          </w:p>
        </w:tc>
        <w:tc>
          <w:tcPr>
            <w:tcW w:w="6962"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Прочие объекты налогообложения</w:t>
            </w:r>
          </w:p>
        </w:tc>
        <w:tc>
          <w:tcPr>
            <w:tcW w:w="1808" w:type="dxa"/>
          </w:tcPr>
          <w:p w:rsidR="008329DA" w:rsidRPr="00642D21" w:rsidRDefault="008329DA" w:rsidP="006852D2">
            <w:pPr>
              <w:jc w:val="both"/>
              <w:rPr>
                <w:rFonts w:ascii="Arial" w:hAnsi="Arial" w:cs="Arial"/>
                <w:sz w:val="24"/>
                <w:szCs w:val="24"/>
              </w:rPr>
            </w:pPr>
            <w:r w:rsidRPr="00642D21">
              <w:rPr>
                <w:rFonts w:ascii="Arial" w:hAnsi="Arial" w:cs="Arial"/>
                <w:sz w:val="24"/>
                <w:szCs w:val="24"/>
              </w:rPr>
              <w:t xml:space="preserve">           0,5</w:t>
            </w:r>
          </w:p>
        </w:tc>
      </w:tr>
    </w:tbl>
    <w:p w:rsidR="008329DA" w:rsidRPr="00642D21" w:rsidRDefault="008329DA" w:rsidP="008329DA">
      <w:pPr>
        <w:jc w:val="both"/>
        <w:rPr>
          <w:rFonts w:ascii="Arial" w:hAnsi="Arial" w:cs="Arial"/>
          <w:sz w:val="24"/>
          <w:szCs w:val="24"/>
        </w:rPr>
      </w:pPr>
    </w:p>
    <w:p w:rsidR="008329DA" w:rsidRPr="00642D21" w:rsidRDefault="008329DA" w:rsidP="008329DA">
      <w:pPr>
        <w:pStyle w:val="a4"/>
        <w:jc w:val="both"/>
        <w:rPr>
          <w:rFonts w:ascii="Arial" w:hAnsi="Arial" w:cs="Arial"/>
          <w:sz w:val="24"/>
          <w:szCs w:val="24"/>
        </w:rPr>
      </w:pPr>
      <w:r w:rsidRPr="00642D21">
        <w:t xml:space="preserve">    </w:t>
      </w:r>
      <w:r>
        <w:tab/>
      </w:r>
      <w:r w:rsidRPr="00642D21">
        <w:t xml:space="preserve"> </w:t>
      </w:r>
      <w:r w:rsidRPr="00642D21">
        <w:rPr>
          <w:rFonts w:ascii="Arial" w:hAnsi="Arial" w:cs="Arial"/>
          <w:sz w:val="24"/>
          <w:szCs w:val="24"/>
        </w:rPr>
        <w:t>3. Установить, что право на налоговые льготы</w:t>
      </w:r>
      <w:proofErr w:type="gramStart"/>
      <w:r w:rsidRPr="00642D21">
        <w:rPr>
          <w:rFonts w:ascii="Arial" w:hAnsi="Arial" w:cs="Arial"/>
          <w:sz w:val="24"/>
          <w:szCs w:val="24"/>
        </w:rPr>
        <w:t>.</w:t>
      </w:r>
      <w:proofErr w:type="gramEnd"/>
      <w:r w:rsidRPr="00642D21">
        <w:rPr>
          <w:rFonts w:ascii="Arial" w:hAnsi="Arial" w:cs="Arial"/>
          <w:sz w:val="24"/>
          <w:szCs w:val="24"/>
        </w:rPr>
        <w:t xml:space="preserve"> </w:t>
      </w:r>
      <w:proofErr w:type="gramStart"/>
      <w:r w:rsidRPr="00642D21">
        <w:rPr>
          <w:rFonts w:ascii="Arial" w:hAnsi="Arial" w:cs="Arial"/>
          <w:sz w:val="24"/>
          <w:szCs w:val="24"/>
        </w:rPr>
        <w:t>н</w:t>
      </w:r>
      <w:proofErr w:type="gramEnd"/>
      <w:r w:rsidRPr="00642D21">
        <w:rPr>
          <w:rFonts w:ascii="Arial" w:hAnsi="Arial" w:cs="Arial"/>
          <w:sz w:val="24"/>
          <w:szCs w:val="24"/>
        </w:rPr>
        <w:t>е предусмотренные Налоговым кодексом Российской Федерации, имеют следующие категории налогоплательщиков:</w:t>
      </w:r>
    </w:p>
    <w:p w:rsidR="008329DA" w:rsidRPr="00642D21" w:rsidRDefault="008329DA" w:rsidP="008329DA">
      <w:pPr>
        <w:pStyle w:val="a4"/>
        <w:jc w:val="both"/>
        <w:rPr>
          <w:rFonts w:ascii="Arial" w:hAnsi="Arial" w:cs="Arial"/>
          <w:sz w:val="24"/>
          <w:szCs w:val="24"/>
        </w:rPr>
      </w:pPr>
      <w:r w:rsidRPr="00642D21">
        <w:rPr>
          <w:rFonts w:ascii="Arial" w:hAnsi="Arial" w:cs="Arial"/>
          <w:sz w:val="24"/>
          <w:szCs w:val="24"/>
        </w:rPr>
        <w:t xml:space="preserve">    </w:t>
      </w:r>
      <w:r>
        <w:rPr>
          <w:rFonts w:ascii="Arial" w:hAnsi="Arial" w:cs="Arial"/>
          <w:sz w:val="24"/>
          <w:szCs w:val="24"/>
        </w:rPr>
        <w:t>-</w:t>
      </w:r>
      <w:r w:rsidRPr="00642D21">
        <w:rPr>
          <w:rFonts w:ascii="Arial" w:hAnsi="Arial" w:cs="Arial"/>
          <w:sz w:val="24"/>
          <w:szCs w:val="24"/>
        </w:rPr>
        <w:t xml:space="preserve"> многодетные семьи (семьи, имеющие трех и более детей, не достигших восемнадцатилетнего возраста);</w:t>
      </w:r>
    </w:p>
    <w:p w:rsidR="008329DA" w:rsidRPr="00642D21" w:rsidRDefault="008329DA" w:rsidP="008329DA">
      <w:pPr>
        <w:pStyle w:val="a4"/>
        <w:jc w:val="both"/>
        <w:rPr>
          <w:rFonts w:ascii="Arial" w:hAnsi="Arial" w:cs="Arial"/>
          <w:sz w:val="24"/>
          <w:szCs w:val="24"/>
        </w:rPr>
      </w:pPr>
      <w:r w:rsidRPr="00642D21">
        <w:rPr>
          <w:rFonts w:ascii="Arial" w:hAnsi="Arial" w:cs="Arial"/>
          <w:sz w:val="24"/>
          <w:szCs w:val="24"/>
        </w:rPr>
        <w:t xml:space="preserve">    </w:t>
      </w:r>
      <w:r>
        <w:rPr>
          <w:rFonts w:ascii="Arial" w:hAnsi="Arial" w:cs="Arial"/>
          <w:sz w:val="24"/>
          <w:szCs w:val="24"/>
        </w:rPr>
        <w:t xml:space="preserve">- </w:t>
      </w:r>
      <w:r w:rsidRPr="00642D21">
        <w:rPr>
          <w:rFonts w:ascii="Arial" w:hAnsi="Arial" w:cs="Arial"/>
          <w:sz w:val="24"/>
          <w:szCs w:val="24"/>
        </w:rPr>
        <w:t>сироты, оставшиеся без родителей, до достижения ими восемнадцатилетнего возраста;</w:t>
      </w:r>
    </w:p>
    <w:p w:rsidR="008329DA" w:rsidRDefault="008329DA" w:rsidP="008329DA">
      <w:pPr>
        <w:pStyle w:val="a4"/>
        <w:jc w:val="both"/>
        <w:rPr>
          <w:rFonts w:ascii="Arial" w:hAnsi="Arial" w:cs="Arial"/>
          <w:sz w:val="24"/>
          <w:szCs w:val="24"/>
        </w:rPr>
      </w:pPr>
      <w:r>
        <w:rPr>
          <w:rFonts w:ascii="Arial" w:hAnsi="Arial" w:cs="Arial"/>
          <w:sz w:val="24"/>
          <w:szCs w:val="24"/>
        </w:rPr>
        <w:t xml:space="preserve">    - инвалиды 3 группы;</w:t>
      </w:r>
    </w:p>
    <w:p w:rsidR="008329DA" w:rsidRPr="00642D21" w:rsidRDefault="008329DA" w:rsidP="008329DA">
      <w:pPr>
        <w:pStyle w:val="a4"/>
        <w:jc w:val="both"/>
        <w:rPr>
          <w:rFonts w:ascii="Arial" w:hAnsi="Arial" w:cs="Arial"/>
          <w:sz w:val="24"/>
          <w:szCs w:val="24"/>
        </w:rPr>
      </w:pPr>
      <w:r>
        <w:rPr>
          <w:rFonts w:ascii="Arial" w:hAnsi="Arial" w:cs="Arial"/>
          <w:sz w:val="24"/>
          <w:szCs w:val="24"/>
        </w:rPr>
        <w:t xml:space="preserve">    - ветераны и инвалиды боевых действий.</w:t>
      </w:r>
    </w:p>
    <w:p w:rsidR="008329DA" w:rsidRPr="00642D21" w:rsidRDefault="008329DA" w:rsidP="008329DA">
      <w:pPr>
        <w:pStyle w:val="a4"/>
        <w:jc w:val="both"/>
        <w:rPr>
          <w:rFonts w:ascii="Arial" w:hAnsi="Arial" w:cs="Arial"/>
          <w:sz w:val="24"/>
          <w:szCs w:val="24"/>
        </w:rPr>
      </w:pPr>
      <w:r w:rsidRPr="00642D21">
        <w:rPr>
          <w:rFonts w:ascii="Arial" w:hAnsi="Arial" w:cs="Arial"/>
          <w:sz w:val="24"/>
          <w:szCs w:val="24"/>
        </w:rPr>
        <w:lastRenderedPageBreak/>
        <w:t xml:space="preserve">   </w:t>
      </w:r>
      <w:r>
        <w:rPr>
          <w:rFonts w:ascii="Arial" w:hAnsi="Arial" w:cs="Arial"/>
          <w:sz w:val="24"/>
          <w:szCs w:val="24"/>
        </w:rPr>
        <w:tab/>
      </w:r>
      <w:r w:rsidRPr="00642D21">
        <w:rPr>
          <w:rFonts w:ascii="Arial" w:hAnsi="Arial" w:cs="Arial"/>
          <w:sz w:val="24"/>
          <w:szCs w:val="24"/>
        </w:rPr>
        <w:t xml:space="preserve"> 4. Основанием предоставления льготы является удостоверение и документы, выданные соответствующими учреждениями, которые несут ответственность за достоверность выданных документов.</w:t>
      </w:r>
    </w:p>
    <w:p w:rsidR="008329DA" w:rsidRPr="00642D21" w:rsidRDefault="008329DA" w:rsidP="008329DA">
      <w:pPr>
        <w:pStyle w:val="a4"/>
        <w:jc w:val="both"/>
        <w:rPr>
          <w:rFonts w:ascii="Arial" w:hAnsi="Arial" w:cs="Arial"/>
          <w:sz w:val="24"/>
          <w:szCs w:val="24"/>
        </w:rPr>
      </w:pPr>
      <w:r w:rsidRPr="00642D21">
        <w:rPr>
          <w:rFonts w:ascii="Arial" w:hAnsi="Arial" w:cs="Arial"/>
          <w:sz w:val="24"/>
          <w:szCs w:val="24"/>
        </w:rPr>
        <w:t xml:space="preserve">  </w:t>
      </w:r>
      <w:r>
        <w:rPr>
          <w:rFonts w:ascii="Arial" w:hAnsi="Arial" w:cs="Arial"/>
          <w:sz w:val="24"/>
          <w:szCs w:val="24"/>
        </w:rPr>
        <w:tab/>
      </w:r>
      <w:r w:rsidRPr="00642D21">
        <w:rPr>
          <w:rFonts w:ascii="Arial" w:hAnsi="Arial" w:cs="Arial"/>
          <w:sz w:val="24"/>
          <w:szCs w:val="24"/>
        </w:rPr>
        <w:t xml:space="preserve">  5.  Налогоплательщики – физические лица, имеющие право на налоговые льготы, предоставляют заявление о предоставлении льготы в налоговый орган по своему выбору.</w:t>
      </w:r>
    </w:p>
    <w:p w:rsidR="008329DA" w:rsidRPr="00642D21" w:rsidRDefault="008329DA" w:rsidP="008329DA">
      <w:pPr>
        <w:pStyle w:val="a4"/>
        <w:jc w:val="both"/>
        <w:rPr>
          <w:rFonts w:ascii="Arial" w:hAnsi="Arial" w:cs="Arial"/>
          <w:sz w:val="24"/>
          <w:szCs w:val="24"/>
        </w:rPr>
      </w:pPr>
      <w:r w:rsidRPr="00642D21">
        <w:rPr>
          <w:rFonts w:ascii="Arial" w:hAnsi="Arial" w:cs="Arial"/>
          <w:sz w:val="24"/>
          <w:szCs w:val="24"/>
        </w:rPr>
        <w:t xml:space="preserve">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8329DA" w:rsidRPr="00642D21" w:rsidRDefault="008329DA" w:rsidP="008329DA">
      <w:pPr>
        <w:pStyle w:val="a4"/>
        <w:jc w:val="both"/>
        <w:rPr>
          <w:rFonts w:ascii="Arial" w:hAnsi="Arial" w:cs="Arial"/>
          <w:sz w:val="24"/>
          <w:szCs w:val="24"/>
        </w:rPr>
      </w:pPr>
      <w:r w:rsidRPr="00642D21">
        <w:rPr>
          <w:rFonts w:ascii="Arial" w:hAnsi="Arial" w:cs="Arial"/>
          <w:sz w:val="24"/>
          <w:szCs w:val="24"/>
        </w:rPr>
        <w:t xml:space="preserve">    При  определении подлежащей уплате налогоплательщиком суммы налога налоговая льгота предоставляется </w:t>
      </w:r>
      <w:proofErr w:type="gramStart"/>
      <w:r w:rsidRPr="00642D21">
        <w:rPr>
          <w:rFonts w:ascii="Arial" w:hAnsi="Arial" w:cs="Arial"/>
          <w:sz w:val="24"/>
          <w:szCs w:val="24"/>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642D21">
        <w:rPr>
          <w:rFonts w:ascii="Arial" w:hAnsi="Arial" w:cs="Arial"/>
          <w:sz w:val="24"/>
          <w:szCs w:val="24"/>
        </w:rPr>
        <w:t xml:space="preserve"> налоговых льгот.</w:t>
      </w:r>
    </w:p>
    <w:p w:rsidR="008329DA" w:rsidRPr="00642D21" w:rsidRDefault="008329DA" w:rsidP="008329DA">
      <w:pPr>
        <w:pStyle w:val="a4"/>
        <w:jc w:val="both"/>
        <w:rPr>
          <w:rFonts w:ascii="Arial" w:hAnsi="Arial" w:cs="Arial"/>
          <w:sz w:val="24"/>
          <w:szCs w:val="24"/>
        </w:rPr>
      </w:pPr>
      <w:r w:rsidRPr="00642D21">
        <w:rPr>
          <w:rFonts w:ascii="Arial" w:hAnsi="Arial" w:cs="Arial"/>
          <w:sz w:val="24"/>
          <w:szCs w:val="24"/>
        </w:rPr>
        <w:t xml:space="preserve">    Налоговая льгота предоставляется в отношении следующих видов объектов налогообложения:</w:t>
      </w:r>
    </w:p>
    <w:p w:rsidR="008329DA" w:rsidRPr="00642D21" w:rsidRDefault="008329DA" w:rsidP="008329DA">
      <w:pPr>
        <w:pStyle w:val="a4"/>
        <w:jc w:val="both"/>
        <w:rPr>
          <w:rFonts w:ascii="Arial" w:hAnsi="Arial" w:cs="Arial"/>
          <w:sz w:val="24"/>
          <w:szCs w:val="24"/>
        </w:rPr>
      </w:pPr>
      <w:r w:rsidRPr="00642D21">
        <w:rPr>
          <w:rFonts w:ascii="Arial" w:hAnsi="Arial" w:cs="Arial"/>
          <w:sz w:val="24"/>
          <w:szCs w:val="24"/>
        </w:rPr>
        <w:t xml:space="preserve">     </w:t>
      </w:r>
      <w:r>
        <w:rPr>
          <w:rFonts w:ascii="Arial" w:hAnsi="Arial" w:cs="Arial"/>
          <w:sz w:val="24"/>
          <w:szCs w:val="24"/>
        </w:rPr>
        <w:t xml:space="preserve">- </w:t>
      </w:r>
      <w:r w:rsidRPr="00642D21">
        <w:rPr>
          <w:rFonts w:ascii="Arial" w:hAnsi="Arial" w:cs="Arial"/>
          <w:sz w:val="24"/>
          <w:szCs w:val="24"/>
        </w:rPr>
        <w:t xml:space="preserve"> квартира, часть квартиры или комната;</w:t>
      </w:r>
    </w:p>
    <w:p w:rsidR="008329DA" w:rsidRDefault="008329DA" w:rsidP="008329DA">
      <w:pPr>
        <w:pStyle w:val="a4"/>
        <w:jc w:val="both"/>
        <w:rPr>
          <w:rFonts w:ascii="Arial" w:hAnsi="Arial" w:cs="Arial"/>
          <w:sz w:val="24"/>
          <w:szCs w:val="24"/>
        </w:rPr>
      </w:pPr>
      <w:r>
        <w:rPr>
          <w:rFonts w:ascii="Arial" w:hAnsi="Arial" w:cs="Arial"/>
          <w:sz w:val="24"/>
          <w:szCs w:val="24"/>
        </w:rPr>
        <w:t xml:space="preserve">     - </w:t>
      </w:r>
      <w:r w:rsidRPr="00642D21">
        <w:rPr>
          <w:rFonts w:ascii="Arial" w:hAnsi="Arial" w:cs="Arial"/>
          <w:sz w:val="24"/>
          <w:szCs w:val="24"/>
        </w:rPr>
        <w:t>жилой дом или часть жилого дома.</w:t>
      </w:r>
    </w:p>
    <w:p w:rsidR="008329DA" w:rsidRPr="00642D21" w:rsidRDefault="008329DA" w:rsidP="008329DA">
      <w:pPr>
        <w:pStyle w:val="a4"/>
        <w:jc w:val="both"/>
        <w:rPr>
          <w:rFonts w:ascii="Arial" w:hAnsi="Arial" w:cs="Arial"/>
          <w:sz w:val="24"/>
          <w:szCs w:val="24"/>
        </w:rPr>
      </w:pPr>
    </w:p>
    <w:p w:rsidR="008329DA" w:rsidRPr="00642D21" w:rsidRDefault="008329DA" w:rsidP="008329DA">
      <w:pPr>
        <w:ind w:firstLine="708"/>
        <w:jc w:val="both"/>
        <w:rPr>
          <w:rFonts w:ascii="Arial" w:hAnsi="Arial" w:cs="Arial"/>
          <w:sz w:val="24"/>
          <w:szCs w:val="24"/>
        </w:rPr>
      </w:pPr>
      <w:r w:rsidRPr="00642D21">
        <w:rPr>
          <w:rFonts w:ascii="Arial" w:hAnsi="Arial" w:cs="Arial"/>
          <w:sz w:val="24"/>
          <w:szCs w:val="24"/>
        </w:rPr>
        <w:t xml:space="preserve"> 6. Решение  Мельничного  сельского  Совета  депутатов  от </w:t>
      </w:r>
      <w:r>
        <w:rPr>
          <w:rFonts w:ascii="Arial" w:hAnsi="Arial" w:cs="Arial"/>
          <w:sz w:val="24"/>
          <w:szCs w:val="24"/>
        </w:rPr>
        <w:t>30</w:t>
      </w:r>
      <w:r w:rsidRPr="00642D21">
        <w:rPr>
          <w:rFonts w:ascii="Arial" w:hAnsi="Arial" w:cs="Arial"/>
          <w:sz w:val="24"/>
          <w:szCs w:val="24"/>
        </w:rPr>
        <w:t>.11.202</w:t>
      </w:r>
      <w:r>
        <w:rPr>
          <w:rFonts w:ascii="Arial" w:hAnsi="Arial" w:cs="Arial"/>
          <w:sz w:val="24"/>
          <w:szCs w:val="24"/>
        </w:rPr>
        <w:t>2г  № 27</w:t>
      </w:r>
      <w:r w:rsidRPr="00642D21">
        <w:rPr>
          <w:rFonts w:ascii="Arial" w:hAnsi="Arial" w:cs="Arial"/>
          <w:sz w:val="24"/>
          <w:szCs w:val="24"/>
        </w:rPr>
        <w:t xml:space="preserve">-р «Об установлении ставок налога на имущество физических лиц на территории Мельничного сельсовета» считать утратившим  силу.  </w:t>
      </w:r>
    </w:p>
    <w:p w:rsidR="008329DA" w:rsidRPr="00642D21" w:rsidRDefault="008329DA" w:rsidP="008329DA">
      <w:pPr>
        <w:jc w:val="both"/>
        <w:rPr>
          <w:rFonts w:ascii="Arial" w:hAnsi="Arial" w:cs="Arial"/>
          <w:sz w:val="24"/>
          <w:szCs w:val="24"/>
        </w:rPr>
      </w:pPr>
      <w:r w:rsidRPr="00642D21">
        <w:rPr>
          <w:rFonts w:ascii="Arial" w:hAnsi="Arial" w:cs="Arial"/>
          <w:sz w:val="24"/>
          <w:szCs w:val="24"/>
        </w:rPr>
        <w:t xml:space="preserve">    </w:t>
      </w:r>
      <w:r>
        <w:rPr>
          <w:rFonts w:ascii="Arial" w:hAnsi="Arial" w:cs="Arial"/>
          <w:sz w:val="24"/>
          <w:szCs w:val="24"/>
        </w:rPr>
        <w:tab/>
      </w:r>
      <w:r w:rsidRPr="00642D21">
        <w:rPr>
          <w:rFonts w:ascii="Arial" w:hAnsi="Arial" w:cs="Arial"/>
          <w:sz w:val="24"/>
          <w:szCs w:val="24"/>
        </w:rPr>
        <w:t xml:space="preserve"> 7. Опубликовать решение в печатном издании «Вестник органов местного самоуправления с</w:t>
      </w:r>
      <w:proofErr w:type="gramStart"/>
      <w:r w:rsidRPr="00642D21">
        <w:rPr>
          <w:rFonts w:ascii="Arial" w:hAnsi="Arial" w:cs="Arial"/>
          <w:sz w:val="24"/>
          <w:szCs w:val="24"/>
        </w:rPr>
        <w:t>.М</w:t>
      </w:r>
      <w:proofErr w:type="gramEnd"/>
      <w:r w:rsidRPr="00642D21">
        <w:rPr>
          <w:rFonts w:ascii="Arial" w:hAnsi="Arial" w:cs="Arial"/>
          <w:sz w:val="24"/>
          <w:szCs w:val="24"/>
        </w:rPr>
        <w:t>ельничного» и на официальном сайте администрации Мельничного сельсовета (</w:t>
      </w:r>
      <w:hyperlink r:id="rId5" w:history="1">
        <w:r w:rsidRPr="00642D21">
          <w:rPr>
            <w:rStyle w:val="a3"/>
            <w:rFonts w:ascii="Arial" w:hAnsi="Arial" w:cs="Arial"/>
            <w:sz w:val="24"/>
            <w:szCs w:val="24"/>
            <w:lang w:val="en-US"/>
          </w:rPr>
          <w:t>http</w:t>
        </w:r>
        <w:r w:rsidRPr="00642D21">
          <w:rPr>
            <w:rStyle w:val="a3"/>
            <w:rFonts w:ascii="Arial" w:hAnsi="Arial" w:cs="Arial"/>
            <w:sz w:val="24"/>
            <w:szCs w:val="24"/>
          </w:rPr>
          <w:t>://мельничное</w:t>
        </w:r>
      </w:hyperlink>
      <w:r w:rsidRPr="00642D21">
        <w:rPr>
          <w:rFonts w:ascii="Arial" w:hAnsi="Arial" w:cs="Arial"/>
          <w:sz w:val="24"/>
          <w:szCs w:val="24"/>
        </w:rPr>
        <w:t xml:space="preserve">. </w:t>
      </w:r>
      <w:proofErr w:type="spellStart"/>
      <w:r w:rsidRPr="00642D21">
        <w:rPr>
          <w:rFonts w:ascii="Arial" w:hAnsi="Arial" w:cs="Arial"/>
          <w:sz w:val="24"/>
          <w:szCs w:val="24"/>
        </w:rPr>
        <w:t>рф</w:t>
      </w:r>
      <w:proofErr w:type="spellEnd"/>
      <w:r w:rsidRPr="00642D21">
        <w:rPr>
          <w:rFonts w:ascii="Arial" w:hAnsi="Arial" w:cs="Arial"/>
          <w:sz w:val="24"/>
          <w:szCs w:val="24"/>
        </w:rPr>
        <w:t>).</w:t>
      </w:r>
    </w:p>
    <w:p w:rsidR="008329DA" w:rsidRPr="00642D21" w:rsidRDefault="008329DA" w:rsidP="008329DA">
      <w:pPr>
        <w:jc w:val="both"/>
        <w:rPr>
          <w:rFonts w:ascii="Arial" w:hAnsi="Arial" w:cs="Arial"/>
          <w:sz w:val="24"/>
          <w:szCs w:val="24"/>
        </w:rPr>
      </w:pPr>
      <w:r w:rsidRPr="00642D21">
        <w:rPr>
          <w:rFonts w:ascii="Arial" w:hAnsi="Arial" w:cs="Arial"/>
          <w:sz w:val="24"/>
          <w:szCs w:val="24"/>
        </w:rPr>
        <w:t xml:space="preserve">    </w:t>
      </w:r>
      <w:r>
        <w:rPr>
          <w:rFonts w:ascii="Arial" w:hAnsi="Arial" w:cs="Arial"/>
          <w:sz w:val="24"/>
          <w:szCs w:val="24"/>
        </w:rPr>
        <w:tab/>
      </w:r>
      <w:r w:rsidRPr="00642D21">
        <w:rPr>
          <w:rFonts w:ascii="Arial" w:hAnsi="Arial" w:cs="Arial"/>
          <w:sz w:val="24"/>
          <w:szCs w:val="24"/>
        </w:rPr>
        <w:t xml:space="preserve">8. </w:t>
      </w:r>
      <w:proofErr w:type="gramStart"/>
      <w:r w:rsidRPr="00642D21">
        <w:rPr>
          <w:rFonts w:ascii="Arial" w:hAnsi="Arial" w:cs="Arial"/>
          <w:sz w:val="24"/>
          <w:szCs w:val="24"/>
        </w:rPr>
        <w:t>Контроль за</w:t>
      </w:r>
      <w:proofErr w:type="gramEnd"/>
      <w:r w:rsidRPr="00642D21">
        <w:rPr>
          <w:rFonts w:ascii="Arial" w:hAnsi="Arial" w:cs="Arial"/>
          <w:sz w:val="24"/>
          <w:szCs w:val="24"/>
        </w:rPr>
        <w:t xml:space="preserve"> выполнением решения возложить на главу Мельничного сельсовета </w:t>
      </w:r>
      <w:proofErr w:type="spellStart"/>
      <w:r w:rsidRPr="00642D21">
        <w:rPr>
          <w:rFonts w:ascii="Arial" w:hAnsi="Arial" w:cs="Arial"/>
          <w:sz w:val="24"/>
          <w:szCs w:val="24"/>
        </w:rPr>
        <w:t>Охримова</w:t>
      </w:r>
      <w:proofErr w:type="spellEnd"/>
      <w:r w:rsidRPr="00642D21">
        <w:rPr>
          <w:rFonts w:ascii="Arial" w:hAnsi="Arial" w:cs="Arial"/>
          <w:sz w:val="24"/>
          <w:szCs w:val="24"/>
        </w:rPr>
        <w:t xml:space="preserve"> О.М. </w:t>
      </w:r>
    </w:p>
    <w:p w:rsidR="008329DA" w:rsidRPr="00642D21" w:rsidRDefault="008329DA" w:rsidP="008329DA">
      <w:pPr>
        <w:jc w:val="both"/>
        <w:rPr>
          <w:rFonts w:ascii="Arial" w:hAnsi="Arial" w:cs="Arial"/>
          <w:sz w:val="24"/>
          <w:szCs w:val="24"/>
        </w:rPr>
      </w:pPr>
      <w:r w:rsidRPr="00642D21">
        <w:rPr>
          <w:rFonts w:ascii="Arial" w:hAnsi="Arial" w:cs="Arial"/>
          <w:sz w:val="24"/>
          <w:szCs w:val="24"/>
        </w:rPr>
        <w:t xml:space="preserve">   </w:t>
      </w:r>
      <w:r>
        <w:rPr>
          <w:rFonts w:ascii="Arial" w:hAnsi="Arial" w:cs="Arial"/>
          <w:sz w:val="24"/>
          <w:szCs w:val="24"/>
        </w:rPr>
        <w:tab/>
      </w:r>
      <w:r w:rsidRPr="00642D21">
        <w:rPr>
          <w:rFonts w:ascii="Arial" w:hAnsi="Arial" w:cs="Arial"/>
          <w:sz w:val="24"/>
          <w:szCs w:val="24"/>
        </w:rPr>
        <w:t xml:space="preserve"> 9. </w:t>
      </w:r>
      <w:r>
        <w:rPr>
          <w:rFonts w:ascii="Arial" w:hAnsi="Arial" w:cs="Arial"/>
          <w:sz w:val="24"/>
          <w:szCs w:val="24"/>
        </w:rPr>
        <w:t>Настоящее</w:t>
      </w:r>
      <w:r w:rsidRPr="00642D21">
        <w:rPr>
          <w:rFonts w:ascii="Arial" w:hAnsi="Arial" w:cs="Arial"/>
          <w:sz w:val="24"/>
          <w:szCs w:val="24"/>
        </w:rPr>
        <w:t xml:space="preserve"> </w:t>
      </w:r>
      <w:r>
        <w:rPr>
          <w:rFonts w:ascii="Arial" w:hAnsi="Arial" w:cs="Arial"/>
          <w:sz w:val="24"/>
          <w:szCs w:val="24"/>
        </w:rPr>
        <w:t>р</w:t>
      </w:r>
      <w:r w:rsidRPr="00642D21">
        <w:rPr>
          <w:rFonts w:ascii="Arial" w:hAnsi="Arial" w:cs="Arial"/>
          <w:sz w:val="24"/>
          <w:szCs w:val="24"/>
        </w:rPr>
        <w:t>ешение  вступает  в  силу</w:t>
      </w:r>
      <w:r>
        <w:rPr>
          <w:rFonts w:ascii="Arial" w:hAnsi="Arial" w:cs="Arial"/>
          <w:sz w:val="24"/>
          <w:szCs w:val="24"/>
        </w:rPr>
        <w:t xml:space="preserve">  </w:t>
      </w:r>
      <w:r w:rsidRPr="00642D21">
        <w:rPr>
          <w:rFonts w:ascii="Arial" w:hAnsi="Arial" w:cs="Arial"/>
          <w:sz w:val="24"/>
          <w:szCs w:val="24"/>
        </w:rPr>
        <w:t>по истечении одного месяца со дня его официального опубликования в газете «Вестник органов местного самоуправления с. Мельничного»</w:t>
      </w:r>
      <w:r>
        <w:rPr>
          <w:rFonts w:ascii="Arial" w:hAnsi="Arial" w:cs="Arial"/>
          <w:sz w:val="24"/>
          <w:szCs w:val="24"/>
        </w:rPr>
        <w:t>,</w:t>
      </w:r>
      <w:r w:rsidRPr="00642D21">
        <w:rPr>
          <w:rFonts w:ascii="Arial" w:hAnsi="Arial" w:cs="Arial"/>
          <w:sz w:val="24"/>
          <w:szCs w:val="24"/>
        </w:rPr>
        <w:t xml:space="preserve"> </w:t>
      </w:r>
      <w:r>
        <w:rPr>
          <w:rFonts w:ascii="Arial" w:hAnsi="Arial" w:cs="Arial"/>
          <w:sz w:val="24"/>
          <w:szCs w:val="24"/>
        </w:rPr>
        <w:t>но</w:t>
      </w:r>
      <w:r w:rsidRPr="00642D21">
        <w:rPr>
          <w:rFonts w:ascii="Arial" w:hAnsi="Arial" w:cs="Arial"/>
          <w:sz w:val="24"/>
          <w:szCs w:val="24"/>
        </w:rPr>
        <w:t xml:space="preserve"> не ранее 1</w:t>
      </w:r>
      <w:r>
        <w:rPr>
          <w:rFonts w:ascii="Arial" w:hAnsi="Arial" w:cs="Arial"/>
          <w:sz w:val="24"/>
          <w:szCs w:val="24"/>
        </w:rPr>
        <w:t xml:space="preserve"> января 2024 года</w:t>
      </w:r>
      <w:r w:rsidRPr="00642D21">
        <w:rPr>
          <w:rFonts w:ascii="Arial" w:hAnsi="Arial" w:cs="Arial"/>
          <w:sz w:val="24"/>
          <w:szCs w:val="24"/>
        </w:rPr>
        <w:t>.</w:t>
      </w:r>
    </w:p>
    <w:p w:rsidR="008329DA" w:rsidRPr="00642D21" w:rsidRDefault="008329DA" w:rsidP="008329DA">
      <w:pPr>
        <w:jc w:val="both"/>
        <w:rPr>
          <w:rFonts w:ascii="Arial" w:hAnsi="Arial" w:cs="Arial"/>
          <w:sz w:val="24"/>
          <w:szCs w:val="24"/>
        </w:rPr>
      </w:pPr>
    </w:p>
    <w:p w:rsidR="008329DA" w:rsidRPr="00642D21" w:rsidRDefault="008329DA" w:rsidP="008329DA">
      <w:pPr>
        <w:jc w:val="both"/>
        <w:rPr>
          <w:rFonts w:ascii="Arial" w:hAnsi="Arial" w:cs="Arial"/>
          <w:sz w:val="24"/>
          <w:szCs w:val="24"/>
        </w:rPr>
      </w:pPr>
      <w:r w:rsidRPr="00642D21">
        <w:rPr>
          <w:rFonts w:ascii="Arial" w:hAnsi="Arial" w:cs="Arial"/>
          <w:sz w:val="24"/>
          <w:szCs w:val="24"/>
        </w:rPr>
        <w:t xml:space="preserve">Глава Мельничного сельсовета                                                     </w:t>
      </w:r>
      <w:proofErr w:type="spellStart"/>
      <w:r w:rsidRPr="00642D21">
        <w:rPr>
          <w:rFonts w:ascii="Arial" w:hAnsi="Arial" w:cs="Arial"/>
          <w:sz w:val="24"/>
          <w:szCs w:val="24"/>
        </w:rPr>
        <w:t>О.М.Охримов</w:t>
      </w:r>
      <w:proofErr w:type="spellEnd"/>
    </w:p>
    <w:p w:rsidR="008329DA" w:rsidRPr="00642D21" w:rsidRDefault="008329DA" w:rsidP="008329DA">
      <w:pPr>
        <w:jc w:val="both"/>
        <w:rPr>
          <w:rFonts w:ascii="Arial" w:hAnsi="Arial" w:cs="Arial"/>
          <w:sz w:val="24"/>
          <w:szCs w:val="24"/>
        </w:rPr>
      </w:pPr>
    </w:p>
    <w:p w:rsidR="0001652F" w:rsidRDefault="0001652F"/>
    <w:sectPr w:rsidR="0001652F" w:rsidSect="006F2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29DA"/>
    <w:rsid w:val="0001652F"/>
    <w:rsid w:val="00832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29DA"/>
    <w:rPr>
      <w:color w:val="0000FF"/>
      <w:u w:val="single"/>
    </w:rPr>
  </w:style>
  <w:style w:type="paragraph" w:styleId="a4">
    <w:name w:val="No Spacing"/>
    <w:uiPriority w:val="1"/>
    <w:qFormat/>
    <w:rsid w:val="008329DA"/>
    <w:pPr>
      <w:spacing w:after="0" w:line="240" w:lineRule="auto"/>
    </w:pPr>
  </w:style>
  <w:style w:type="paragraph" w:styleId="a5">
    <w:name w:val="Balloon Text"/>
    <w:basedOn w:val="a"/>
    <w:link w:val="a6"/>
    <w:uiPriority w:val="99"/>
    <w:semiHidden/>
    <w:unhideWhenUsed/>
    <w:rsid w:val="008329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29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84;&#1077;&#1083;&#1100;&#1085;&#1080;&#1095;&#1085;&#1086;&#1077;"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2</cp:revision>
  <dcterms:created xsi:type="dcterms:W3CDTF">2023-11-22T04:44:00Z</dcterms:created>
  <dcterms:modified xsi:type="dcterms:W3CDTF">2023-11-22T04:47:00Z</dcterms:modified>
</cp:coreProperties>
</file>