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2C" w:rsidRPr="0089372C" w:rsidRDefault="0089372C" w:rsidP="0089372C">
      <w:pPr>
        <w:shd w:val="clear" w:color="auto" w:fill="FFFFFF"/>
        <w:spacing w:before="161" w:after="161" w:line="421" w:lineRule="atLeast"/>
        <w:ind w:left="468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41"/>
          <w:szCs w:val="41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kern w:val="36"/>
          <w:sz w:val="41"/>
          <w:szCs w:val="41"/>
          <w:lang w:eastAsia="ru-RU"/>
        </w:rPr>
        <w:t>Паспорт национального проекта "Малое и среднее предпринимательство и поддержка индивидуальной предпринимательской инициативы" (утв. президиумом Совета при Президенте РФ по стратегическому развитию и национальным проектам (протокол от 24 декабря 2018 г. N 16))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text"/>
      <w:bookmarkEnd w:id="0"/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1. Основные положения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5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3464"/>
        <w:gridCol w:w="3494"/>
        <w:gridCol w:w="3795"/>
      </w:tblGrid>
      <w:tr w:rsidR="0089372C" w:rsidRPr="0089372C" w:rsidTr="0089372C"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Краткое наименование национального проекта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Малое и среднее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предпринимательство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(МСП)</w:t>
            </w:r>
          </w:p>
        </w:tc>
        <w:tc>
          <w:tcPr>
            <w:tcW w:w="3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начала и окончания</w:t>
            </w:r>
          </w:p>
        </w:tc>
        <w:tc>
          <w:tcPr>
            <w:tcW w:w="3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</w:tr>
      <w:tr w:rsidR="0089372C" w:rsidRPr="0089372C" w:rsidTr="0089372C">
        <w:tc>
          <w:tcPr>
            <w:tcW w:w="4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Куратор национального проекта</w:t>
            </w:r>
          </w:p>
        </w:tc>
        <w:tc>
          <w:tcPr>
            <w:tcW w:w="107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А.Г.Силуанов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Первый заместитель Председателя Правительства Российской Федерации - Министр финансов Российской Федерации</w:t>
            </w:r>
          </w:p>
        </w:tc>
      </w:tr>
      <w:tr w:rsidR="0089372C" w:rsidRPr="0089372C" w:rsidTr="0089372C">
        <w:tc>
          <w:tcPr>
            <w:tcW w:w="4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национального проекта</w:t>
            </w:r>
          </w:p>
        </w:tc>
        <w:tc>
          <w:tcPr>
            <w:tcW w:w="107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М.С.Орешкин, Министр экономического развития Российской Федерации</w:t>
            </w:r>
          </w:p>
        </w:tc>
      </w:tr>
      <w:tr w:rsidR="0089372C" w:rsidRPr="0089372C" w:rsidTr="0089372C">
        <w:tc>
          <w:tcPr>
            <w:tcW w:w="4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Администратор национального проекта</w:t>
            </w:r>
          </w:p>
        </w:tc>
        <w:tc>
          <w:tcPr>
            <w:tcW w:w="107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заместитель Министра экономического развития Российской Федерации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2. Цели, целевые и дополнительные показатели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5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"/>
        <w:gridCol w:w="3065"/>
        <w:gridCol w:w="1658"/>
        <w:gridCol w:w="1583"/>
        <w:gridCol w:w="1488"/>
        <w:gridCol w:w="1161"/>
        <w:gridCol w:w="986"/>
        <w:gridCol w:w="1011"/>
        <w:gridCol w:w="1074"/>
        <w:gridCol w:w="1011"/>
        <w:gridCol w:w="1057"/>
      </w:tblGrid>
      <w:tr w:rsidR="0089372C" w:rsidRPr="0089372C" w:rsidTr="0089372C">
        <w:tc>
          <w:tcPr>
            <w:tcW w:w="10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Цель, целевой показатель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Уровень контроля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Базовое значение</w:t>
            </w:r>
          </w:p>
        </w:tc>
        <w:tc>
          <w:tcPr>
            <w:tcW w:w="6570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Период, год</w:t>
            </w:r>
          </w:p>
        </w:tc>
      </w:tr>
      <w:tr w:rsidR="0089372C" w:rsidRPr="0089372C" w:rsidTr="0089372C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Значение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2019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2020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2021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2022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2023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2024</w:t>
            </w:r>
          </w:p>
        </w:tc>
      </w:tr>
      <w:tr w:rsidR="0089372C" w:rsidRPr="0089372C" w:rsidTr="0089372C"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5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Численность занятых в сфере малого и среднего предпринимательства, включая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индивидуальных предпринимателей, млн. человек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Совет</w:t>
            </w:r>
          </w:p>
        </w:tc>
        <w:tc>
          <w:tcPr>
            <w:tcW w:w="1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19,2</w:t>
            </w:r>
          </w:p>
        </w:tc>
        <w:tc>
          <w:tcPr>
            <w:tcW w:w="15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2018 г.</w:t>
            </w:r>
          </w:p>
        </w:tc>
        <w:tc>
          <w:tcPr>
            <w:tcW w:w="123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19,6</w:t>
            </w:r>
          </w:p>
        </w:tc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20,5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21,6</w:t>
            </w:r>
          </w:p>
        </w:tc>
        <w:tc>
          <w:tcPr>
            <w:tcW w:w="11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22,9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</w:t>
            </w:r>
          </w:p>
        </w:tc>
      </w:tr>
      <w:tr w:rsidR="0089372C" w:rsidRPr="0089372C" w:rsidTr="0089372C"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2.</w:t>
            </w:r>
          </w:p>
        </w:tc>
        <w:tc>
          <w:tcPr>
            <w:tcW w:w="25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Доля малого и среднего предпринимательства в ВВП, %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Президиум Совета</w:t>
            </w:r>
          </w:p>
        </w:tc>
        <w:tc>
          <w:tcPr>
            <w:tcW w:w="1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22,3</w:t>
            </w:r>
          </w:p>
        </w:tc>
        <w:tc>
          <w:tcPr>
            <w:tcW w:w="15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31 декабря 2017 г.</w:t>
            </w:r>
          </w:p>
        </w:tc>
        <w:tc>
          <w:tcPr>
            <w:tcW w:w="123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22,9</w:t>
            </w:r>
          </w:p>
        </w:tc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23,5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11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27,5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32,5</w:t>
            </w:r>
          </w:p>
        </w:tc>
      </w:tr>
      <w:tr w:rsidR="0089372C" w:rsidRPr="0089372C" w:rsidTr="0089372C"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Доля экспорта субъектов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экспорта, %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Президиум Совета</w:t>
            </w:r>
          </w:p>
        </w:tc>
        <w:tc>
          <w:tcPr>
            <w:tcW w:w="1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8,60</w:t>
            </w:r>
          </w:p>
        </w:tc>
        <w:tc>
          <w:tcPr>
            <w:tcW w:w="15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31 декабря 2017 г.</w:t>
            </w:r>
          </w:p>
        </w:tc>
        <w:tc>
          <w:tcPr>
            <w:tcW w:w="123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8,80</w:t>
            </w:r>
          </w:p>
        </w:tc>
        <w:tc>
          <w:tcPr>
            <w:tcW w:w="10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9,00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9,25</w:t>
            </w:r>
          </w:p>
        </w:tc>
        <w:tc>
          <w:tcPr>
            <w:tcW w:w="11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9,50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9,75</w:t>
            </w:r>
          </w:p>
        </w:tc>
        <w:tc>
          <w:tcPr>
            <w:tcW w:w="10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10,00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3. Структура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3"/>
        <w:gridCol w:w="4198"/>
        <w:gridCol w:w="2979"/>
        <w:gridCol w:w="2181"/>
        <w:gridCol w:w="4634"/>
      </w:tblGrid>
      <w:tr w:rsidR="0089372C" w:rsidRPr="0089372C" w:rsidTr="0089372C"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федерального проекта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Сроки реализации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Куратор федерального проекта</w:t>
            </w:r>
          </w:p>
        </w:tc>
        <w:tc>
          <w:tcPr>
            <w:tcW w:w="46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Руководитель федерального проекта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1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Улучшение условий ведения предпринимательской деятельности</w:t>
            </w:r>
          </w:p>
        </w:tc>
        <w:tc>
          <w:tcPr>
            <w:tcW w:w="29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  <w:tc>
          <w:tcPr>
            <w:tcW w:w="21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А.Г.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Силуанов</w:t>
            </w:r>
            <w:proofErr w:type="spellEnd"/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заместитель Министра экономического развития Российской Федерации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1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29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  <w:tc>
          <w:tcPr>
            <w:tcW w:w="21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А.Г.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Силуанов</w:t>
            </w:r>
            <w:proofErr w:type="spellEnd"/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заместитель Министра экономического развития Российской Федерации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1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29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  <w:tc>
          <w:tcPr>
            <w:tcW w:w="21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А.Г.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Силуанов</w:t>
            </w:r>
            <w:proofErr w:type="spellEnd"/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заместитель Министра экономического развития Российской Федерации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1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9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  <w:tc>
          <w:tcPr>
            <w:tcW w:w="21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А.Г.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Силуанов</w:t>
            </w:r>
            <w:proofErr w:type="spellEnd"/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Лут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заместитель Министра сельского хозяйства Российской Федерации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5.</w:t>
            </w:r>
          </w:p>
        </w:tc>
        <w:tc>
          <w:tcPr>
            <w:tcW w:w="41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Популяризация предпринимательства</w:t>
            </w:r>
          </w:p>
        </w:tc>
        <w:tc>
          <w:tcPr>
            <w:tcW w:w="29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2018 г. - 31 декабря 2024 г.</w:t>
            </w:r>
          </w:p>
        </w:tc>
        <w:tc>
          <w:tcPr>
            <w:tcW w:w="21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А.Г.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Силуанов</w:t>
            </w:r>
            <w:proofErr w:type="spellEnd"/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А.С.Калинин, президент Общероссийской общественной организации малого и среднего предпринимательства "ОПОРА РОССИИ"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О структуре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Национальный прое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кт стр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уктурирован таким образом, чтобы предложить необходимые меры поддержки предпринимателю на каждом этапе жизненного цикла развития бизнеса: от появления идеи начать бизнес, далее - регистрации и помощи в получении доступного финансирования, имущественной поддержки, до реализации проектов в отдельных отраслях (туризм, сельское хозяйство) и расширения бизнеса с выходом на экспорт.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Наполнение и группировка задач федеральных проектов, предусмотренных национальным проектом, осуществлена исходя из эффективности таких мероприятий с точки зрения их влияния на достижение национальных целей, достаточности, а также необходимости с учетом текущих потребностей сектора малого и среднего предпринимательства.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В структуре национального проекта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приоритизированы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сроки мероприятий по разработке нормативных правовых актов, необходимых для решения задач национального проекта: внесение в законодательство Российской Федерации основных изменений, направленных на снижение административной и финансовой нагрузки на малые и средние предприятия, а также принятие актов Правительства Российской Федерации, устанавливающих параметры реализуемых механизмов государственной поддержки, будет обеспечено в 2019 году, что позволит зафиксировать "правила игры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" и создать условия для развития сектора малого и среднего бизнеса темпами, необходимыми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для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достижение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целевых ориентиров национального проекта.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>Наиболее значимыми результатами в рамках федерального проекта "Улучшение условий ведения предпринимательской деятельности" станут: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отработка ключевых параметров специального налогового режима для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граждан в 4 субъектах Российской Федерации с последующим законодательным закреплением его действия на всей территории Российской Федерации;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освобождение к 2024 году более 1,2 млн. субъектов МСП от подачи налоговой декларации при использовании контрольно-кассовой техники;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принятие переходных налоговых режимов в целях стимулирования роста субъектов МСП и перехода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микропредприятий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в малые и малых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средние;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законодательное закрепление понятия "социальное предпринимательство" в целях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предоставления этой категории предпринимателей особых мер поддержки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введение на 2019 - 2020 годы моратория на проведение плановых проверок в отношении определенных категорий субъектов малого предпринимательства.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Выявление и устранение барьеров нормативного характера будет осуществляться в рамках механизма "Трансформация делового климата" при активном участии </w:t>
      </w:r>
      <w:proofErr w:type="spellStart"/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бизнес-сообщества</w:t>
      </w:r>
      <w:proofErr w:type="spellEnd"/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Реализация комплекса мероприятий по созданию благоприятных условий деятельности для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граждан внесет существенный вклад в достижение целевого показателя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4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Указа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Президента Российской Федерации от 7 мая 2018 г. N 204 "О национальных целях и стратегических задачах развития Российской Федерации на период до 2024 года" (далее - Указ N 204) и целевого ориентира национального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>проекта - увеличение численности занятых в сфере малого и среднего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предпринимательства, включая индивидуальных предпринимателей к 2024 году 25 млн. человек. Количество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, к 2024 году составит 2,4 млн. человек, что составляет порядка 41 процента от общего роста численности занятых в секторе МСП, запланированного в рамках реализации национального проекта.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 соответствии с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5" w:anchor="block_132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Указом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N 204 в качестве отдельной задачи национального проекта выделено создание системы акселерации субъектов малого и среднего предпринимательства. Здесь основную роль играют федеральные проекты "Акселерация субъектов малого и среднего предпринимательства" и "Расширение доступа субъектов МСП к финансовым ресурсам, в том числе к льготному финансированию", направленные на создание условий для перехода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микропредприятий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в разряд малых, а затем средних за счет расширения бизнеса и роста продолжительности жизни предприятий. В целях решения задачи по увеличению доли малых и средних предприятия, где сосредоточен наибольший потенциал для роста числа занятых и добавленной стоимости, национальным проектом предусмотрена многоканальная система оказания финансовой, имущественной, образовательной поддержки МСП.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Приоритизированы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направления поддержки производственного и инновационного бизнеса - за счет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реализации механизмов обеспечения доступа таких компаний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к производственным площадям и мощностям на льготных условиях, поддержки субъектов МСП в целях их ускоренного развития в моногородах, а также поддержки экспортеров, являющихся субъектами МСП.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Наиболее значимые ожидаемые результаты реализации федеральных проектов "Расширение доступа субъектов МСП к финансовым ресурсам, в том числе к льготному финансированию" и "Акселерация субъектов малого и среднего предпринимательства":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обеспечена доступность финансовых ресурсов для МСП за счет реализации программы льготного кредитования субъектов МСП, механизмов финансовой поддержки в рамках Национального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гарантийной системы, обеспечения доступа субъектов МСП к инструментам фондового рынка и лизингового финансирования.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По итогам реализации национального проекта совокупный объем долгового портфеля субъектов МСП составит 10 трлн. рублей; при этом уже в 2019 году планируется предоставить кредитов субъектам МСП по льготной ставке, не превышающей 8,5 процентов, в объеме 1,0 трлн. рублей;</w:t>
      </w:r>
      <w:proofErr w:type="gramEnd"/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более 15,0 тыс. субъектов МСП выведены на экспорт к 2024 году при поддержке региональной инфраструктуры экспортной поддержки;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доля экспорта МСП в общем объеме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несырьевого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экспорта в 2024 году составит не менее 10%.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На решение задачи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6" w:anchor="block_132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Указа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N 204 по созданию системы поддержки фермеров и развитие сельской кооперации направлен комплекс мероприятий соответствующего федерального проекта, в рамках которого к 2024 году планируется обеспечить количество вновь вовлеченных в субъекты МСП в сельском хозяйстве не менее 126 тыс. человек, создать условия развития субъектов МСП в агропромышленном комплексе, в том числе крестьянских (фермерских) хозяйств и сельскохозяйственных потребительских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кооперативов.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 отдельный федеральный проект выделена популяризация предпринимательства в целях обеспечения условий для вовлечения как можно большего количества граждан с соответствующими компетенциями в предпринимательскую деятельность и обеспечение притока новых субъектов МСП, которые впоследствии будут расти и развиваться.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Планируется, что участие в мероприятиях федерального проекта "Популяризация предпринимательства" в 2019 - 2024 годах примут около 3,0 млн. человек.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Информация о влиянии каждого из федеральных проектов на достижение целей национального проекта: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3694"/>
        <w:gridCol w:w="3085"/>
        <w:gridCol w:w="3010"/>
        <w:gridCol w:w="3085"/>
        <w:gridCol w:w="1532"/>
      </w:tblGrid>
      <w:tr w:rsidR="0089372C" w:rsidRPr="0089372C" w:rsidTr="0089372C">
        <w:tc>
          <w:tcPr>
            <w:tcW w:w="7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федерального проекта</w:t>
            </w:r>
          </w:p>
        </w:tc>
        <w:tc>
          <w:tcPr>
            <w:tcW w:w="78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Влияние на достижение целей и целевых показателей (процентов)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Сводный рейтинг (баллов)</w:t>
            </w:r>
          </w:p>
        </w:tc>
      </w:tr>
      <w:tr w:rsidR="0089372C" w:rsidRPr="0089372C" w:rsidTr="0089372C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Численность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занятых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 в сфере малого и среднего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предпринимательства, включая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индивидуальных</w:t>
            </w:r>
            <w:proofErr w:type="gramEnd"/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предпринимателей - 25 млн. чел.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Доля малого и среднего предпринимательства в ВВП - 32,5%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Доля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 экспорта - 10%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</w:tr>
      <w:tr w:rsidR="0089372C" w:rsidRPr="0089372C" w:rsidTr="0089372C">
        <w:tc>
          <w:tcPr>
            <w:tcW w:w="7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Улучшение условий ведения предпринимательской деятельности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41,4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19,44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60,84</w:t>
            </w:r>
          </w:p>
        </w:tc>
      </w:tr>
      <w:tr w:rsidR="0089372C" w:rsidRPr="0089372C" w:rsidTr="0089372C">
        <w:tc>
          <w:tcPr>
            <w:tcW w:w="7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10,9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27,13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38,03</w:t>
            </w:r>
          </w:p>
        </w:tc>
      </w:tr>
      <w:tr w:rsidR="0089372C" w:rsidRPr="0089372C" w:rsidTr="0089372C">
        <w:tc>
          <w:tcPr>
            <w:tcW w:w="7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36,5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40,83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177,33</w:t>
            </w:r>
          </w:p>
        </w:tc>
      </w:tr>
      <w:tr w:rsidR="0089372C" w:rsidRPr="0089372C" w:rsidTr="0089372C">
        <w:tc>
          <w:tcPr>
            <w:tcW w:w="7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2,2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2,44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4,64</w:t>
            </w:r>
          </w:p>
        </w:tc>
      </w:tr>
      <w:tr w:rsidR="0089372C" w:rsidRPr="0089372C" w:rsidTr="0089372C">
        <w:tc>
          <w:tcPr>
            <w:tcW w:w="7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6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Популяризация предпринимательства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9,1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10,16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19,7</w:t>
            </w:r>
          </w:p>
        </w:tc>
      </w:tr>
      <w:tr w:rsidR="0089372C" w:rsidRPr="0089372C" w:rsidTr="0089372C">
        <w:tc>
          <w:tcPr>
            <w:tcW w:w="5400" w:type="dxa"/>
            <w:gridSpan w:val="2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Итого обеспеченность целей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целевых показателей национального проекта</w:t>
            </w:r>
          </w:p>
        </w:tc>
        <w:tc>
          <w:tcPr>
            <w:tcW w:w="29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250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241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7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300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4. Задачи и результаты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4.1. Федеральный проект (Улучшение условий ведения предпринимательской деятельности)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9180"/>
        <w:gridCol w:w="2280"/>
        <w:gridCol w:w="2580"/>
      </w:tblGrid>
      <w:tr w:rsidR="0089372C" w:rsidRPr="0089372C" w:rsidTr="0089372C"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N 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9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задачи, результата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реализации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Ответственный исполнитель</w:t>
            </w:r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Установлены на федеральном уровне базовые правила и принципы организации нестационарной и мобильной торговли, осуществляемой субъектами МСП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 апреля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В.Л.Евтухов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Освобождены от обязанности предоставления налоговой декларации не менее 1,2 млн. налогоплательщиков - субъектов МСП, применяющих упрощенную систему налогообложения с объектом налогообложения в виде доходов и использующих контрольно-кассовую технику в 2020 - 2024 годах, в том числе (нарастающим итогом):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0,8 млн. субъектов МСП в 2020 году;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0,9 млн. субъектов МСП в 2021 году;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1,0 млн. субъектов МСП в 2022 году;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1,1 млн. субъектов МСП в 2023 году;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менее 1,2 млн. субъектов МСП в 2024 году.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2020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Проведена ежегодная лотерея фискальных чеков среди потребителей товаров (работ, услуг) субъектов МСП в целях стимулирования их к легализации транзакций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Законодательно закреплен переходный налоговый режим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Законодательно закреплены единые подходы к созданию (с учетом специфики создания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промпарков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технопарков для субъектов малого и среднего предпринимательства), развитию, обеспечению функционирования, финансированию и оценке эффективности территорий с особыми условиями осуществления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1.6.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Законодательно закреплено определение "Социальное предпринимательство" в целях оказания поддержки субъектам МСП, осуществляющим деятельность в данной сфере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1.7.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Утверждена стратегия развития туризма в Российской Федерации на период до 2035 года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О.П.Сафонов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1.8.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"Трансформация делового климата" в 2019 г. - 2024 гг.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1.9.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доступ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Российской Федерацией, субъектами Российской Федерации и муниципальными образованиями, по результатам деятельности коллегиальных органов, созданных в субъектах Российской Федерации, не менее чем до (нарастающим итогом):</w:t>
            </w:r>
            <w:proofErr w:type="gramEnd"/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55 100 объектов по состоянию на 1 декабря 2019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56 300 объектов по состоянию на 1 декабря 2020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58 200 объектов по состоянию на 1 декабря 2021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61 300 объектов по состоянию на 1 декабря 2022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64 200 объектов по состоянию на 1 декабря 2023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66 000 объектов по состоянию на 1 декабря 2024 г.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2. Обеспечение благоприятных условий осуществления деятельности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самозанятыми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Запущен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пилотный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 для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 в 4 субъектах Российской Федерации на базе мобильного приложения в целях отработки ключевых параметров специального налогового режима, включая: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передачу информации о продажах в налоговые органы в автоматическом режиме, освобождение от обязанности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предоставлять отчетность;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уплату единого платежа с выручки, включающего в себя взнос в фонд обязательного медицинского страхования;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возможность формирования налогового капитала на развитие для оплаты им части сумм исчисленного налога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 января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2.2.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целях совершенствования специального налогового режима для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 проведен анализ практики реализации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пилотного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проекта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августа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2.3.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Законодательно закреплено введение специального налогового режима для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 на всей территории Российской Федерации на основе анализа практики реализации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пилотного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проекта для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2.4.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Реализовано прикладное программное обеспечение и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централизованная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ИТ-инфраструктуры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внедрению подсистемы, обеспечивающей налогообложение доходов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граждан, в том числе, с возможностью интеграции с системами кредитных организаций и операторами электронных площадок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Д.В. Егоров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2.5.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Обеспечено создание АО "Корпорация МСП" совместно с кредитными организациями, государственными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микрофинансовыми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организациями, кредитными кооперативами специального продукта, предусматривающего оказание кредитной и гарантийной поддержки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гражданам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2.6.</w:t>
            </w:r>
          </w:p>
        </w:tc>
        <w:tc>
          <w:tcPr>
            <w:tcW w:w="91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Количество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граждан, зафиксировавших свой статус с учетом введения специального налогового режима для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достигло 2 400,0 тыс. человек в 2019 - 2024 гг.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(нарастающим итогом),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- 200,0 тыс. чел.;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- 800,0 тыс. чел.;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- 1 400,0 тыс. чел.;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- 1 800,0 тыс. чел.;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- 2 100,0 тыс. чел.;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- 2 400,0 тыс. чел.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25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Трунин</w:t>
            </w:r>
            <w:proofErr w:type="spellEnd"/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lastRenderedPageBreak/>
        <w:t>4.2. Федеральный проект (Расширение доступа субъектов МСП к финансовым ресурсам, в том числе льготному финансированию)</w:t>
      </w:r>
    </w:p>
    <w:p w:rsidR="0089372C" w:rsidRPr="0089372C" w:rsidRDefault="0089372C" w:rsidP="008937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См.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7" w:anchor="block_1000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методику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расчета показателя "Количество выдаваемых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микрозаймов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микрофинансовыми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организациями субъектам малого и среднего предпринимательства нарастающим итогом"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финансированию", утвержденную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8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приказом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Минэкономразвития России от 24 декабря 2019 г. N 837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"/>
        <w:gridCol w:w="7800"/>
        <w:gridCol w:w="2925"/>
        <w:gridCol w:w="3285"/>
      </w:tblGrid>
      <w:tr w:rsidR="0089372C" w:rsidRPr="0089372C" w:rsidTr="0089372C">
        <w:tc>
          <w:tcPr>
            <w:tcW w:w="1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N 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задачи, результата</w:t>
            </w:r>
          </w:p>
        </w:tc>
        <w:tc>
          <w:tcPr>
            <w:tcW w:w="2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реализации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Ответственный исполнитель</w:t>
            </w:r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Законодательно обеспечено за счет средств федерального бюджета предоставление субсидий АО "Корпорация "МСП" на финансовое обеспечение исполнения обязательств АО "Корпорация "МСП" по гарантиям, предоставленным субъектам МСП в период с 2019 по 2024 гг., в целях увеличения объемов гарантийной поддержки в рамках расширения объемов кредитования субъектов МСП в рамках Национальной гарантийной системы (далее - НГС)</w:t>
            </w:r>
            <w:proofErr w:type="gramEnd"/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марта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Предоставлена субсидия АО "Корпорация "МСП" на финансовое обеспечение исполнения обязательств АО "Корпорация "МСП" по гарантиям, предоставленным субъектам МСП в период с 2019 г. по 2024 гг., в размере 14,318 млрд. рублей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- 1,588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- 2,743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- 3,041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- 3,329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- 3,617 млрд.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Предоставлены субсидии органам государственной власти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субъектов Российской Федерации на исполнение расходных обязательств, предусматривающих создание и (или) развитие РГО, осуществляющих деятельность в рамках НГС с учетом присвоенного ранга в размере 14,054 млрд. рублей,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- 2,092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- 0,662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- 1,092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- 3, 477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- 5,092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- 1,638 млрд.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1.4.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Осуществлен взнос в уставный капитал АО "Корпорация "МСП" в целях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докапитализации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АО "МСП Банк" в целях увеличения объемов гарантийной поддержки в рамках расширения объемов кредитования субъектов МСП в рамках НГС в размере 5 млрд. рублей в 2019 году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консолидированный объем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ставке, в размере 10 трлн. рублей в 2019 - 2024 годах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9" w:anchor="block_2222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2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- 1,12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- 1,38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- 1,57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- 1,77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- 1,97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- 2,17 трлн.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1.6.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Совместно с высшими должностными лицами субъектов Российской Федерации, входящих в Дальневосточный федеральный округ, осуществлен на ежегодной основе отбор, подготовка и сопровождение проектов в приоритетных отраслях для получения финансовой поддержки, оказанной субъектам МСП в рамках НГС и кредитов, выданных в рамках программы предоставления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субсидий кредитным организациям на возмещение недополученных ими доходов по кредитам</w:t>
            </w:r>
            <w:proofErr w:type="gramEnd"/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А.К.Ниязметов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1.7.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консолидированный объем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Дальневосточного федерального округа на реализацию проектов в приоритетных отраслях по льготной ставке, в размере 420,8 млрд. рублей в 2019 - 2024 годах, в том числе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0" w:anchor="block_2222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2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  <w:proofErr w:type="gramEnd"/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- 37,4 млрд. рублей (прирост на 62% по сравнению с 2018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- 46,7 млрд. рублей (прирост на 25% по сравнению с 2019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- 58,4 млрд. рублей (прирост на 25% по сравнению с 2020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- 73 млрд. рублей (прирост на 25% по сравнению с 2021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- 91,2 млрд. рублей (прирост на 25% по сравнению с 2022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- 114,1 млрд. рублей (прирост на 25% по сравнению с 2023 годом).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1.8.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Совместно с высшими должностными лицами субъектов Российской Федерации, входящих в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Северо-Кавказский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федеральный округ, осуществлен на ежегодной основе отбор, подготовка и сопровождение проектов в приоритетных отраслях для получения финансовой поддержки, оказанной субъектам МСП в рамках НГС и кредитов, выданных в рамках программы предоставления субсидий кредитным организациям на возмещение недополученных ими доходов по кредитам</w:t>
            </w:r>
            <w:proofErr w:type="gramEnd"/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О.В.Рхуллаева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1.9.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 консолидированный объем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Северо-Кавказского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федерального округа на реализацию проектов в приоритетных отраслях по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льготной ставке, в размере 56,4 млрд. рублей в 2019 г. - 2024 годах., в том числе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1" w:anchor="block_2222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2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  <w:proofErr w:type="gramEnd"/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- 5,0 млрд. рублей (прирост на 25% по сравнению с 2018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- 6,3 млрд. рублей (прирост на 25% по сравнению с 2019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- 7,8 млрд. рублей (прирост на 25% по сравнению с 2020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- 9,8 млрд. рублей (прирост на 25% по сравнению с 2021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- 12,2 млрд. рублей (прирост на 25% по сравнению с 2022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- 15,3 млрд. рублей (прирост на 25% по сравнению с 2023 годом)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1.10.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 механизм распределения объемов льготного кредитования, включая механизм квотирования, среди субъектов Российской Федерации в рамках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 с целью обеспечения равного доступа субъектов МСП к льготному кредитованию на всей территории Российской Федерации</w:t>
            </w:r>
            <w:proofErr w:type="gramEnd"/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июля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Обеспечена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докапитализация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региональных лизинговых компаний, созданных с участием АО "Корпорация "МСП"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Предоставлена субсидия бюджету Республики Крым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2" w:anchor="block_3333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3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создание региональной лизинговой компании в Республике Крым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1.13.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объем лизингового портфеля, сформированного в рамках поддержки субъектов МСП, оказанной региональными лизинговыми компаниями, созданными с участием АО "Корпорация "МСП" в 2019 - 2024 гг., в т.ч.: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8,56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12,93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17,23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21,86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2023 году 26,89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32,93 млрд.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1.14.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Определен механизм оказания государственной поддержки субъектам МСП в части их кредитования под залог прав на интеллектуальную собственность за счет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июля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С.Н.Горьков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1.15.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Осуществлено кредитование субъектов МСП под залог прав на интеллектуальную собственность в размере 31 млрд. рублей в 2019 - 2024 годах,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- 1,0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- 2,0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- 4,0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- 6,0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- 8,0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- 10,0 млрд. рублей.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С.Н.Горьков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1.16.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Обеспечено льготное кредитование АО "МСП Банк" предпринимателей каждой приоритетной группы (молодежь, женщины, инвалиды, предприниматели старше 45 лет и другие), а также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микрофинансовых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организаций с государственным участием для кредитования предпринимателей каждой приоритетной группы (женщины, предприниматели старше 45 лет), в том числе утверждены льготные кредитные продукты АО "МСП Банк"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1.17.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 и реализован специальный кредитный продукт (промышленная ипотека) для резидентов промышленных площадок в целях создания (строительства, реконструкции) производственных помещений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1.18.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Реализованы на ежегодной основе рыночные механизмы рефинансирования портфелей кредитов МСП коммерческих банков с использованием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секьюритизации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(привлечение кредитными организациями заемных средств через размещение и обслуживание облигаций с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залоговым обеспечением в виде портфелей кредитов МСП)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2. Развитие инструментов фондового рынка для использования субъектами МСП в целях получения доступа к дополнительным источникам финансирования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Разработаны и утверждены механизмы доступа субъектов МСП к фондовому рынку,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гарантийная поддержка институтов развития в части выхода предприятий на фондовый рынок;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специальные биржевые тарифы для эмитентов - субъектов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институтов развития в качестве "якорных" инвесторов в выпусках ценных бумаг субъектов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развитие финансирования субъектов МСП с помощью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краудинвестинговой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платформы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 декабря 2020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М.В.Мамута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Создана информационно-аналитическая инфраструктура "Сектора Роста" на Московской Бирже,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проведены периодические аналитические исследования эмитентов "Сектора Роста" и кандидатов на выход в "Сектор Роста" с презентацией результатов для инвестиционного сообщества;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создан индекс "Сектора Роста";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создан информационно-аналитический портал для инвесторов и компаний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Мамута</w:t>
            </w:r>
            <w:proofErr w:type="spellEnd"/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3. Повышение доступности инструментов лизинга для субъектов МСП</w:t>
            </w:r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 и утвержден механизм субсидирования процентной ставки за счет средств федерального бюджета по лизинговым сделкам субъектов МСП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Снижена стоимость лизинга для субъектов МСП, осуществляющих деятельность в отдельных отраслях экономики (кроме сельскохозяйственного производства, транспорта и торговли), путем применения механизма субсидирования процентной ставки за счет средств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федерального бюджета по лизинговым сделкам, объем которых суммарно за 2022 - 2024 годы составит 107,6 млрд. рублей,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- 23,98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- 38,68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- 44,946 млрд.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 xml:space="preserve">3. Повышение доступности финансирования микро и малого бизнеса за счет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микрофинансовых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 организаций (МФО) 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краудфандинга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Разработана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13" w:anchor="block_100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концепция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развития государственных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микрофинансовых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Предоставлены субсидии из федерального бюджета органам государственной власти субъектов Российской Федерации на исполнение расходных обязательств, предусматривающих создание и (или) развитие государственных МФО, а также субсидии МФО на субсидирование ставки вознаграждения по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микрозаймам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субъектов МСП, в размере 21 432,8 млрд. рублей,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- 4,736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- 1,37674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- 1,820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- 7,247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- 5,400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- 0,853 млрд. рублей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4.3.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Государственными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микрофинансовыми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организациями обеспечен доступ субъектов МСП к заемным средствам и увеличен объем выдаваемых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микрозаймов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 20 млрд. рублей ежегодно в количестве не менее 20700 единиц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4.4.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Нормативно закреплена минимальная доля в размере 10% займов, не обеспеченных залогом, в структуре портфеля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микрозаймов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государственных МФО</w:t>
            </w:r>
          </w:p>
        </w:tc>
        <w:tc>
          <w:tcPr>
            <w:tcW w:w="29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27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4.3. Федеральный проект (Акселерация субъектов малого и среднего предпринимательства)</w:t>
      </w:r>
    </w:p>
    <w:p w:rsidR="0089372C" w:rsidRPr="0089372C" w:rsidRDefault="0089372C" w:rsidP="008937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>См.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14" w:anchor="block_1000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методику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расчета показателя "Количество субъектов малого и среднего предпринимательства, выведенных на экспорт при поддержке центров поддержки экспорта, нарастающим итогом"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инициативы", утвержденную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15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приказом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Минэкономразвития России от 23 декабря 2019 г. N 832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7755"/>
        <w:gridCol w:w="2865"/>
        <w:gridCol w:w="3375"/>
      </w:tblGrid>
      <w:tr w:rsidR="0089372C" w:rsidRPr="0089372C" w:rsidTr="0089372C"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7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задачи, результата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реализации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Ответственный исполнитель</w:t>
            </w:r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Создание цифровой платформы, ориентированной на информационную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Осуществлена интеграция Портала Бизнес-навигатора МСП с государственной информационной системой промышленности ГИСП в целях реализации на базе Портала Бизнес-навигатора МСП дополнительных функциональных возможностей для субъектов МСП, осуществляющих производственную деятельность, в том числе в части организации сбыта продукции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28 ноября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Обеспечена возможность участия субъектов МСП в формировании обновленной городской среды и инфраструктуры посредством расширения функционала Бизнес-навигатора МСП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28 ноября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Обеспечено развитие электронных сервисов поддержки субъектов МСП с целью участия субъектов МСП в закупках, предусматривающих: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цифровизацию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процесса участия субъектов МСП в закупках в части взаимного признания крупнейшими заказчиками типовых заявок, заполняемых субъектами МСП с использованием функционала АИС Мониторинг МСП АО "Корпорация "МСП";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консолидацию мер поддержки, оказываемых инновационным, высокотехнологичным субъектам МСП АО "Корпорация "МСП" и институтами развития в сфере инноваций;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электронную платформу для развития факторинга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30 сентября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2. Обеспечение упрощенного доступа в электронном виде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Оцифрованы и размещены на едином государственном ресурсе все услуги и сервисы организаций инфраструктуры и меры поддержки с открытым доступом для федеральных и региональных органов власти, институтов развития и других организаций.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Обеспечено оказание услуг и сервисов организаций инфраструктуры и мер поддержки в электронном виде (с использованием ЕСИА) субъектам МСП.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доступ субъектов МСП через единый личный кабинет (с использованием ЕСИА) к ключевым государственным и негосударственным образовательным платформам, информационным системам и производственно-сбытовым площадкам с возможностью размещения заявок и осуществления торговли в электронном виде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2.4.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Обеспечено посредством АИС управление заявками субъектов МСП, обращающихся за финансовой поддержкой в рамках Национальной гарантийной системы (НГС),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онлайн-взаимодействие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между банками-партнерами и организациями-партнерами, аккредитованными участниками НГС, и заемщиками - субъектами МСП, в целях предоставления кредитно-гарантийной поддержки, включая программы льготного кредитования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2.5.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Законодательно установлен порядок ведения единого реестра субъектов МСП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-п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олучателей поддержки, определены условия представления для формирования указанного реестра информации, ответственные за представление такой информации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июля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2.6.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Сформирован единый реестр субъектов МСП - получателей поддержки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Д.Ю.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Григоренко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2.7.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Количество вновь созданных и действующих субъектов МСП 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самозанятых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граждан, совершивших значимые действия во всех информационных системах в рамках национального проекта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6" w:anchor="block_4444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4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улучшивших показатели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выручки и/или численности занятых, достигло 2 160 тыс. ед. в 2019 - 2024 гг. (нарастающим итогом), в том числе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7" w:anchor="block_5555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5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- 700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- 960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- 1 246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- 1 532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- 1 842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- 2 160 тыс. ед.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3. Совершенствование нормативно-правового регулирования системы закупок, осуществляемых крупнейшими заказчиками у субъектов малого и среднего предпринимательства, включая индивидуальных предпринимателей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Установлена административная ответственность за нарушение крупнейшими заказчиками требований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18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постановления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Правительства Российской Федерации "Об особенностях участия субъектов малого и среднего предпринимательства в закупках товаров, работ, услуг отдельными видами юридических лиц" в части сроков оплаты по договорам, заключенным с субъектами МСП по результатам закупок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  <w:proofErr w:type="gramEnd"/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А.В. Доценко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Расширен горизонт планирования поставщиками закупок, осуществляемых в соответствии с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19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Федеральным законом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"О закупках товаров, работ, услуг отдельными видами юридических лиц", у субъектов МСП до 3 лет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01 июля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А.М. Лавров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Увеличена доля закупок крупнейших заказчиков, участниками которых являются только субъекты МСП, до 18% к 2020 году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А.М. Лавров</w:t>
            </w:r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4. Повышение качества закупочной деятельности крупнейших заказчиков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Обеспечено распространение на поставщиков механизмов факторинга в закупках у субъектов МСП крупнейших заказчиков посредством определения в положениях о закупках сведений о возможности применения факторинга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 менее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чем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100 крупнейших заказчиков, с учетом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 июля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4.2.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программы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повышения качества управления закупочной деятельности компаний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 числа субъектов естественных монополий и компаний с государственным участием включены показатели эффективности с методикой расчета, связанные с обеспечением закупок у субъектов МСП,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марта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объем закупок крупнейших заказчиков у субъектов МСП, зарегистрированных на территории Дальневосточного федерального округа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0" w:anchor="block_6666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6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2019 году в размере не менее 137,7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50% по сравнению с 2018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2020 году в размере не менее 172,1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2019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2021 году в размере не менее 215,1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2020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2022 году в размере не менее 268,9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2021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2023 году в размере не менее 336,1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2022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2024 году в размере не менее 420,1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2023 годом).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4.4.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 объем закупок крупнейших заказчиков у субъектов МСП, зарегистрированных на территории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Северо-Кавказского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федерального округа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1" w:anchor="block_6666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6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2019 году в размере 35,44 не менее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50% по сравнению с 2018 г.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2020 году в размере не менее 44,30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2019 г.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2021 году в размере не менее 55,37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2020 г.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2022 году в размере не менее 69,22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2021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в 2023 году в размере не менее 86,52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2022 годом);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2024 году в размере не менее 110,00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(прирост на 25% по сравнению с 2023 годом).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4.5.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Внедрены механизмы и разработаны методические рекомендации развития ("выращивания")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2020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4.6.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Обеспечена реализация ежегодно не менее 5 компаниями с иностранным участием, локализующими или планирующими локализовать производство на территории Российской Федерации, мероприятий по встраиванию российских субъектов МСП в цепочки поставок в целях повышения уровня локализации производства на территории Российской Федерации, в том числе посредством налаживания делового сотрудничества между российскими субъектами МСП и такими компаниями</w:t>
            </w:r>
            <w:proofErr w:type="gramEnd"/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4.7.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Сформирован с учетом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предложений органов государственной власти субъектов Российской Федерации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реестр производственных субъектов МСП - потенциальных поставщиков крупнейших заказчиков, включающий не менее (нарастающим итогом):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10 000 субъектов МСП по состоянию на 1 марта 2019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20 000 субъектов МСП по состоянию на 1 марта 2020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30 000 субъектов МСП по состоянию на 1 марта 2021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40 000 субъектов МСП по состоянию на 1 марта 2022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50 000 субъектов МСП по состоянию на 1 марта 2023 г.;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60 000 субъектов МСП по состоянию на 1 марта 2024 г.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апреля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4.8.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Объем закупок крупнейших заказчиков, определяемых Правительством Российской Федерации, у субъектов малого и среднего предпринимательства, составил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2" w:anchor="block_7777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7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2019 году - 3,0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трлн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- 3,4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- 3,8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2022 году - 4,2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- 4,6 трлн.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- 5,0 трлн. рублей.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5. 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в субъектах Российской Федерации не менее 129 промышленных парков, технопарков, в том числе в сфере высоких технологий и агропромышленного производства, с применением механизмов государственно-частного партнерства в период 2019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- 2024 годы: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- 4,5 млрд. рублей, 22 парка;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- 2,0 млрд. рублей, 10 парков;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- 2,0 млрд. рублей, 10 парков;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- 16,0 млрд. рублей, 61 парк;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- 5,5 млрд. рублей, 26 парков.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этом общий объем инвестиций в основной капитал за период 2019 - 2024 гг. составит 109,8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рублей, в том числе по годам: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- 13,3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- 20,8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- 24,0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- 24,5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- 13,1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- 14,1 млрд. рублей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Нормативно закреплены технические и организационные требования к деятельности центров "Мой бизнес", а также перечень и регламент оказываемых услуг субъектам МСП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апреля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Организовано оказание комплекса услуг, сервисов и мер поддержки субъектам МСП в Центрах "Мой бизнес", в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 таких сферах, как благоустройство городской среды и сельской местности, экология, женское предпринимательство, а также услуг АО "Корпорация "МСП" и АО "Российский экспортный центр", не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менее чем в 100 Центрах "Мой бизнес", в том числе по годам (нарастающим итогом):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- 20 Центров "Мой бизнес";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- 40 Центров "Мой бизнес";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- 80 Центров "Мой бизнес";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- 100 Центров "Мой бизнес";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- 100 Центров "Мой бизнес";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- 100 Центров "Мой бизнес".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2024 году доля субъектов МСП, охваченных услугами Центров "Мой бизнес" составит 10%, в том числе по годам: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- 3%;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- 4%;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- 5%;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- 7%;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- 9%;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- 10%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5.4.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Разработаны образовательные программы и обеспечено обучение региональных (муниципальных) команд, организаций инфраструктуры поддержки МСП. Количество команд, прошедших обучение за период 2019 - 2024 гг. составит 955 единиц, в том числе: 85 региональных команд, 170 муниципальных команд, 700 команд организаций инфраструктуры поддержки МСП. Количество человек, прошедших обучение к 2024 году составит 5,5 тыс. человек, в том числе по годам: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- 179 команд (количество человек, прошедших обучение - 2 000 ед.);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- 323 команды (количество человек, прошедших обучение и повысивших квалификацию - 3 360 ед.);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2021 г. - 323 команды (количество человек, прошедших обучение и повысивших квалификацию - 4 950 ед.);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- 130 команд (количество человек, прошедших обучение и повысивших квалификацию - 5 500 ед.);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- 700 команд повысят квалификацию (количество человек, повысивших квалификацию 5500);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- 700 команд повысят квалификацию (количество человек, повысивших квалификацию 5500)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5.5.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Оказана поддержка ежегодно не менее 100 инновационным, высокотехнологичным субъектам МСП, в том числе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стартап-предприятям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"газелям"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5.6.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Разработана и реализована программа поддержки субъектов МСП в целях их ускоренного развития в моногородах.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 субъектов МСП в моногородах, получивших поддержку,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2024 году составит 4511 единиц,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- 1197 субъектов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- 182 субъекта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- 673 субъектов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- 894 субъекта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- 893 субъекта МСП;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- 672 субъекта МСП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5.7.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Разработана и реализована программа "Расширение использования франшиз в секторе МСП" (сопровождение при "упаковке"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бизнес-идеи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 франшизу), в частности, разработано не менее 20 новых франшиз в регионах ежегодно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5.8.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Предоставлены субсидии из федерального бюджета Федеральному государственному бюджетному учреждению "Фонд содействия развитию малых форм предприятий в научно-технической сфере" в целях предоставления грантов субъектам малого предпринимательства на разработку и создание производства инновационной продукции под задачи крупного российского бизнеса, на создание и (или) расширение производства инновационной продукции, а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также на осуществление НИОКР, в том числе в сфере спорта, городской среды, экологии, социального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предпринимательства в размере 28,754 млрд. рублей,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 г. - 4,5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 г. - 0,225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 г. - 1,7125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 г. - 9,0625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 г. - 8,5 млрд.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 г. - 4,754 млрд. рублей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 инновационных субъектов малого предпринимательства, получивших поддержку, к 2024 г. составит не менее 1212 единиц,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 г. - не менее 207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 г. - не менее 88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 г. - не менее 198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 г. - не менее 230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 г. - не менее 237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не менее 252 ед.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6. Модернизация системы поддержки экспортеров - субъектов малого и среднего предпринимательства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6.1.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Законодательно закреплены порядок учета и сбора информации о количестве и объемах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 товаров (работ, услуг) субъектов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МСП-экспортеров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без увеличения объема отчетности для субъектов МСП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6.2.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Разработана и начата реализация кредитно-гарантийных продуктов АО "Корпорация "МСП", АО "МСП Банк" с льготными условиями финансирования для субъектов МСП - экспортно-ориентированных компаний либо экспортеров в целях его включения в единый комплекс мер поддержки экспорта ("коробочный продукт"), разработка и реализация которого предусмотрена в рамках национальной программы в сфере развития международной кооперации и экспорта</w:t>
            </w:r>
            <w:proofErr w:type="gramEnd"/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15 октября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6.3.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Внедрена система "Инвестиционный лифт" в сфере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 в субъектах Российской Федерации,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 участием региональных гарантийных организаций, центров (агентств) координации поддержки экспортно-ориентированных субъектов МСП (ЦПЭ), региональных фондов развития промышленности (в случае принятия законов субъектов Российской Федерации о создании региональных фондов развития с учетом модельного закона, подготовленного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Минпромторгом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России совместно с Минфином России при участии АО "Корпорация "МСП" и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системообразующих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банков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). Система "Инвестиционный лифт" включена субъектами Российской Федерации в региональные проекты по развитию экспорта, разрабатываемые в рамках национальной программы в сфере развития международной кооперации и экспорта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6.4.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АО "Российский экспортный центр" определен агентом Правительства Российской Федерации по субсидии бюджетам субъектов Российской Федерации на создание и развитие ЦПЭ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6.5.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АО "Российский экспортный центр" законодательно наделено полномочиями по оценке соответствия ЦПЭ требованиям, установленным Минэкономразвития России, а также по осуществлению анализа результатов деятельности указанной инфраструктуры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июня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6.6.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чем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 субъектов Российской Федерации, осуществляющих поддержку экспорта субъектов МСП: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 г. - 72 субъектов Российской Федерации;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 г. - 75 субъектов Российской Федерации;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 г. - 85 субъектов Российской Федерации.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Количество субъектов МСП, выведенных на экспорт при поддержке ЦПЭ, достигло 15,4 тыс.ед. (нарастающим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итогом) к 2024 году, в том числе: в 2019 году - 3,5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- 7,0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- 9,1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- 11,2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- 13,3 тыс.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- 15,4 тыс. ед.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6.7.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Обеспечена реализация акселерационных программ для субъектов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МСП-экспортеров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том числе на базе ЦПЭ (мероприятия реализуются в рамках национальной программы "Международная кооперация и экспорт")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Слепнев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6.8.</w:t>
            </w:r>
          </w:p>
        </w:tc>
        <w:tc>
          <w:tcPr>
            <w:tcW w:w="77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Президиумом Совета при Президенте Российской Федерации по стратегическому развитию и национальным проектам определены показатели эффективности, характеризующие развитие экспорта малого и среднего предпринимательства в субъектах Российской Федерации (количество экспортеров МСП и объем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 МСП субъектов Российской Федерации), в том числе в целях формирования региональных проектов развития экспорта</w:t>
            </w:r>
          </w:p>
        </w:tc>
        <w:tc>
          <w:tcPr>
            <w:tcW w:w="28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апреля 2019 г.</w:t>
            </w:r>
          </w:p>
        </w:tc>
        <w:tc>
          <w:tcPr>
            <w:tcW w:w="33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Слепнев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4.4. Федеральный проект (Создание системы поддержки фермеров и развитие сельской кооперации)</w:t>
      </w:r>
    </w:p>
    <w:p w:rsidR="0089372C" w:rsidRPr="0089372C" w:rsidRDefault="0089372C" w:rsidP="008937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См.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23" w:anchor="block_1000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статистическую методологию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расчета показателей федерального проекта "Создание системы поддержки фермеров и развитие сельской кооперации", утвержденную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24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приказом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Минсельхоза России от 24 апреля 2019 г. N 223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7785"/>
        <w:gridCol w:w="2820"/>
        <w:gridCol w:w="3390"/>
      </w:tblGrid>
      <w:tr w:rsidR="0089372C" w:rsidRPr="0089372C" w:rsidTr="0089372C"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N 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7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задачи, результата</w:t>
            </w: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реализации</w:t>
            </w:r>
          </w:p>
        </w:tc>
        <w:tc>
          <w:tcPr>
            <w:tcW w:w="3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Ответственный исполнитель</w:t>
            </w:r>
          </w:p>
        </w:tc>
      </w:tr>
      <w:tr w:rsidR="0089372C" w:rsidRPr="0089372C" w:rsidTr="0089372C">
        <w:tc>
          <w:tcPr>
            <w:tcW w:w="1510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Создание системы поддержки фермеров и развитие сельской кооперации</w:t>
            </w:r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 основе предварительных итогов реализуемых в настоящее время программ по развитию сельскохозяйственной кооперации в субъектах Российской Федерации, Минсельхозом России совместно с АО "Корпорация МСП" доработаны рекомендации по разработке региональных программ развития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сельскохозяйственной кооперации и обеспечена разработка и реализация комплексных программ развития сельскохозяйственной кооперации в соответствии с доработанными рекомендациями во всех субъектах Российской Федерации</w:t>
            </w:r>
            <w:proofErr w:type="gramEnd"/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Лут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1.2.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Определены центры компетенций в сфере сельскохозяйственной кооперации во всех субъектах Российской Федерации (за исключением 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Москвы и г. Санкт-Петербурга) в соответствии с доработанными Минсельхозом России совместно в АО "Корпорация "МСП" методическими рекомендациями по определению положения о центре компетенций в сфере сельскохозяйственной кооперации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июня 2019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Лут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Разработаны Минсельхозом России совместно с АО "Корпорация МСП" и утверждены Проектным комитетом по национальному проекту "Малое и среднее предпринимательство и поддержка индивидуальной предпринимательской инициативы"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25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стандарты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центров компетенций в сфере сельскохозяйственной кооперации и поддержки фермеров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Лут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Утверждено постановление Правительства Российской Федерации, предусматривающее предоставление из федерального бюджета бюджетам субъектов Российской Федерации иных межбюджетных трансфертов на создание системы поддержки фермеров и развитие сельской кооперации в субъектах Российской Федерации в размере 37,368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 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2019 году в размере 7,373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2020 году в размере 1,836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2021 году в размере 4,608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2022 году в размере 5,914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2023 году в размере 8,514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2024 году в размере 9,123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млрд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рублей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30 апреля 2019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Лут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Усовершенствован комплекс мер поддержки сельскохозяйственных кооперативов и фермеров-членов сельскохозяйственной кооперативов ("коробочный" продукт), в том числе в рамках существующих мер государственной поддержки Минсельхоза России и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субъектов Российской Федерации, а также существующих продуктов АО "Корпорация "МСП", АО "МСП Банк", АО "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Россельхозбанк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", АО "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Росагролизинг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 в части кредитно-гарантийной и финансовой поддержки сельскохозяйственных кооперативов и фермеров-членов сельскохозяйственных кооперативов, являющихся субъектами МСП</w:t>
            </w:r>
            <w:proofErr w:type="gramEnd"/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2019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1.6.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Проведено ежегодно не менее 10 мероприятий, направленных на повышение информационной открытости закупок крупнейших заказчиков у субъектов МСП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-с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1.7.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Обеспечена организация ежегодных обучающих семинаров для центров компетенций в сфере сельскохозяйственной кооперации и поддержки фермеров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А.А.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Браверман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1.8.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Разработаны и утверждены дифференцированные требования по пропорциональному регулированию деятельности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31 декабря 2019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В.В.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Чистюхин</w:t>
            </w:r>
            <w:proofErr w:type="spellEnd"/>
          </w:p>
        </w:tc>
      </w:tr>
      <w:tr w:rsidR="0089372C" w:rsidRPr="0089372C" w:rsidTr="0089372C">
        <w:tc>
          <w:tcPr>
            <w:tcW w:w="111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1.9.</w:t>
            </w:r>
          </w:p>
        </w:tc>
        <w:tc>
          <w:tcPr>
            <w:tcW w:w="77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 г. году, в том числе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6" w:anchor="block_8888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8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 году в количестве 18,2 тысяч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 году в количестве 13,0 тысяч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 году в количестве 15,6 тысяч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 году в количестве 20,0 тысяч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 году в количестве 28,8 тысяч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 году в количестве 30,9 тысяч человек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6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О.Н.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Лут</w:t>
            </w:r>
            <w:proofErr w:type="spellEnd"/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4.5. Федеральный проект (Популяризация предпринимательства)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7800"/>
        <w:gridCol w:w="2820"/>
        <w:gridCol w:w="3360"/>
      </w:tblGrid>
      <w:tr w:rsidR="0089372C" w:rsidRPr="0089372C" w:rsidTr="0089372C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N 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задачи, результата</w:t>
            </w: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реализации</w:t>
            </w:r>
          </w:p>
        </w:tc>
        <w:tc>
          <w:tcPr>
            <w:tcW w:w="33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Ответственный исполнитель</w:t>
            </w:r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Формирование положительного образа предпринимателя</w:t>
            </w:r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Проведены социологические исследования и глубинные интервью в целях выявления наиболее значимых факторов, определяющих интерес граждан к осуществлению предпринимательской деятельности. Сформирован комплекс показателей, основанных на выявленных факторах, для оценки эффективности мероприятий по популяризации предпринимательской деятельности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августа 2019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Реализована федеральная информационная кампания по популяризации предпринимательства, включающая продвижение образа предпринимателя в сети "Интернет" и социальных сетях, создание специализированных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медиа-проектов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Реализованы соответствующие кампании на региональном и муниципальном уровнях с учетом особенностей целевых групп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Годом предпринимательства объявлен 2020 год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2019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5075" w:type="dxa"/>
            <w:gridSpan w:val="4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Количество вновь созданных субъектов МСП достигнет (нарастающим итогом) 62000 ед.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2024 г.,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2019 г. - 9000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2020 г. - 13500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2021 г. - 13500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2022 г. - 10000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2023 г. - 9000 ед.;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2024 г. - 7000 ед.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2.2.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Реализованы образовательные программы, курсы, в том числе модульные, направленные на развитие предпринимательских компетенций для каждой целевой группы, в том числе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действующих предпринимателей;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школьников;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в возрасте до 30 лет, в том числе студентов;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женщин;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военнослужащих, уволенных в запас;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старше 45 лет;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безработных;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инвалидов;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выпускники и воспитанники детских домов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2.3.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Подготовлены к 2024 г. не менее 3900 тренеров для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обучения целевых групп по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утвержденным методикам,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- 225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 г. - 470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- 675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- 755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- 775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- 1000 человек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 декабря 2024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  <w:tr w:rsidR="0089372C" w:rsidRPr="0089372C" w:rsidTr="0089372C">
        <w:tc>
          <w:tcPr>
            <w:tcW w:w="109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2.4.</w:t>
            </w:r>
          </w:p>
        </w:tc>
        <w:tc>
          <w:tcPr>
            <w:tcW w:w="78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Обучены основам ведения бизнеса, финансовой грамотности и иным навыкам предпринимательской деятельности к 2024 г. не менее 450 тыс. человек из целевых групп, в том числе: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2019 г. - 91 500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2020 г. - 95 550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2021 г. - 95 850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2022 г. - 61 425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2023 г. - 58 155 человек;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 г. - 50 680 человек</w:t>
            </w:r>
          </w:p>
        </w:tc>
        <w:tc>
          <w:tcPr>
            <w:tcW w:w="282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20 декабря 2024 г.</w:t>
            </w:r>
          </w:p>
        </w:tc>
        <w:tc>
          <w:tcPr>
            <w:tcW w:w="33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В.А.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Живулин</w:t>
            </w:r>
            <w:proofErr w:type="spellEnd"/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5. Финансовое обеспечение реализации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51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4"/>
        <w:gridCol w:w="3187"/>
        <w:gridCol w:w="1460"/>
        <w:gridCol w:w="1612"/>
        <w:gridCol w:w="1598"/>
        <w:gridCol w:w="1460"/>
        <w:gridCol w:w="1460"/>
        <w:gridCol w:w="1488"/>
        <w:gridCol w:w="1626"/>
      </w:tblGrid>
      <w:tr w:rsidR="0089372C" w:rsidRPr="0089372C" w:rsidTr="0089372C">
        <w:tc>
          <w:tcPr>
            <w:tcW w:w="12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N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федерального проекта и источники финансирования</w:t>
            </w:r>
          </w:p>
        </w:tc>
        <w:tc>
          <w:tcPr>
            <w:tcW w:w="934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Всего</w:t>
            </w:r>
          </w:p>
        </w:tc>
      </w:tr>
      <w:tr w:rsidR="0089372C" w:rsidRPr="0089372C" w:rsidTr="0089372C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2019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2021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2022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2023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проект "Улучшение условий ведения предпринимательской деятельности"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904,0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411,4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494,4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2 564,0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904,0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411,4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494,4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251,4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2 564,0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1.1.1.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  <w:r w:rsidRPr="008937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7" w:anchor="block_7777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консолидированные бюджеты субъектов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1.3.1.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проект "Расширение доступа субъектов МСП к финансовой поддержке, в том числе к льготному финансированию", в том числе: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28 443,0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28 155,0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35 599,6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56 409,6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60 356,7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52 847,4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261 811,3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27 965.0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27 977,3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35 395,8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55 658,9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59 622,3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52 672,9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259 292,2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консолидированные бюджеты субъектов Российской Федерации, в том числе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478,0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177,7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203,8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750.7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734,4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174,5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2 519,1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проект "Акселерация субъектов малого и среднего предпринимательства", в том числе: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30 644,9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13 881,4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18 335,9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43 842,7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36 227,9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24 949,4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167 882,2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24 151,9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6 960,3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9 918,5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32 301,1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23 901,3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11 620,2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108 853,3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3.1.1.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бюджеты государственных внебюджетных фондов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3.2.1.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консолидированные бюджеты субъектов Российской Федерации, в том числе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1 193,0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421,1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517,4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1 541,6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1 026,6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429,2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5 128,9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5 300,0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6 500,0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7 900,0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10 000,0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11 300,0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12 900,0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53 900,0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проект "Создание системы поддержки фермеров и развитие сельской кооперации", в том числе: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8 001,42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2 039,78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5 049,34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6 461,32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9 250,17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9 958,98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40 761,01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7 373,0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1 836,0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4 608,0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5 914,0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8 514,0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9 123,0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37 368,0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4.1.1.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4.3.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628,42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203,78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441,34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547,32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736,17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835,98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3 393,01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проект "Популяризация предпринимательства", в том числе: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1 416,0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1 376,0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897,0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1 588,0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1 595,3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1 601,5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8 473,8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1 381,0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1 341,0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862,0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1 532,0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1 522,5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1 528,0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8 166,5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5.1.1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35,00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35,00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35,00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56,00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72,80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73,50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307,30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 них межбюджетные трансферты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lastRenderedPageBreak/>
              <w:t>5.4.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по национальному проекту за счет всех источников, в том числе: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69 409,3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45 863,6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60 376,3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108 553,0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107 681,4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89 608,6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481 492,2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федеральный бюджет*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61 774,9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38 526,0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51 278,7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95 657,4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93 811,4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75 195,5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416 243,9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6.1.1.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6.2.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6.2.1.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6.3.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2 334,4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837,6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1 197,6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2 895,6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2 570,0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1 513,1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11 348,3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6.3.1.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 них межбюджетные трансферты бюджет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у(</w:t>
            </w:r>
            <w:proofErr w:type="spellStart"/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(указывается наименование)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0,0</w:t>
            </w:r>
          </w:p>
        </w:tc>
      </w:tr>
      <w:tr w:rsidR="0089372C" w:rsidRPr="0089372C" w:rsidTr="0089372C">
        <w:tc>
          <w:tcPr>
            <w:tcW w:w="124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6.4.</w:t>
            </w:r>
          </w:p>
        </w:tc>
        <w:tc>
          <w:tcPr>
            <w:tcW w:w="279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5 300,0</w:t>
            </w:r>
          </w:p>
        </w:tc>
        <w:tc>
          <w:tcPr>
            <w:tcW w:w="166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6 500,0</w:t>
            </w:r>
          </w:p>
        </w:tc>
        <w:tc>
          <w:tcPr>
            <w:tcW w:w="165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7 900,0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10 000,0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11 300,0</w:t>
            </w:r>
          </w:p>
        </w:tc>
        <w:tc>
          <w:tcPr>
            <w:tcW w:w="15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12 900,0</w:t>
            </w:r>
          </w:p>
        </w:tc>
        <w:tc>
          <w:tcPr>
            <w:tcW w:w="16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53 900,0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lastRenderedPageBreak/>
        <w:t>6. Дополнительная информация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 соответствии с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28" w:anchor="block_13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Указом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Президента Российской Федерации от 7 мая 2018 г. N 204 "О национальных целях и стратегических задачах развития Российской Федерации на период до 2024 г. года" Правительству Российской Федерации при реализации национального проекта в сфере развития малого и среднего предпринимательства и поддержки индивидуальной предпринимательской инициативы поручено обеспечить в 2024 г. году достижение целевого показателя по увеличению численности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занятых в сфере МСП, включая индивидуальных предпринимателей, до 25 млн. человек.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 соответствии с указанным поручением Минэкономразвития России разработан паспорт национального проекта "Малое и среднее предпринимательство и поддержка индивидуальной предпринимательской инициативы", включающий в себя пять федеральных проектов.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Федеральный проект "Улучшение условий ведения предпринимательской деятельности" предусматривает реализацию мероприятий по внесению изменений в законодательство Российской Федерации в целях улучшения условий ведения предпринимательской деятельности.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Основными мероприятиями в рамках федерального проекта являются: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освобождение субъектов МСП от подачи налоговой декларации при использовании контрольно-кассовой техники;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разработка и принятие переходных налоговых режимов в целях стимулирования роста субъектов МСП и перехода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микропредприятий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в малые и малых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средние;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законодательное закрепление понятия "социальное предпринимательство" в целях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предоставления этой категории предпринимателей особых мер поддержки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Также отдельно выделяются мероприятия по проведению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пилотного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проекта для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граждан в 4 субъектах Российской Федерации для отработки ключевых параметров специального налогового режима и последующего его законодательного закрепления. 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МСП, к льготным кредитам, исключить для них налоговую отчетность и предоставить возможность упрощенной регистрации.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Кроме того, мероприятия по выявлению и устранению барьеров нормативного характера планируется осуществлять в рамках механизма "Трансформация делового климата" при активном участии </w:t>
      </w:r>
      <w:proofErr w:type="spellStart"/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бизнес-сообщества</w:t>
      </w:r>
      <w:proofErr w:type="spellEnd"/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Федеральный проект "Расширение доступа субъектов МСП к финансовой поддержке, в том числе к льготному финансированию" предусматривает многоканальную систему оказания финансовой поддержки, которая включает предоставление поддержки в рамках Национальной гарантийной системы с участием Корпорации, МСП Банка, региональной гарантийной инфраструктуры, предоставление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микрозаймов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предпринимателям государственными МФО по льготным ставкам, а также расширение лизинговой поддержки, внедрение альтернативных источников финансирования МСП, таких как выпуск облигаций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и развитие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краудинвестинговых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платформ.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 рамках федерального проекта программа льготного кредитования субъектов МСП предусматривает следующие параметры: льготная ставка будет рассчитываться как сумма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29" w:anchor="block_100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ключевой ставки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, установленной Банком России, плюс 2%, но не более 8,5% годовых для конечного заемщика;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расширится число уполномоченных банков - в первую очередь за счет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некрупных региональных банков, имеющих опыт кредитования субъектов МСП проект предусматривает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докапитализацию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АО "Корпорация "МСП" на цели расширения лизинговой поддержки субъектов МСП в рамках деятельности региональных лизинговых компаний и кредитно-гарантийной поддержки, оказываемой АО "МСП Банк". Наряду с этим, в целях увеличения объемов гарантийной поддержки при минимизации бюджетных расходов, а также с учетом лучших международных практик, предусматривается субсидирование убытков, возникающих по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дефолтным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кредитам субъектов МСП, гарантированным АО "Корпорация "МСП".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Федеральный проект "Акселерация субъектов малого и среднего предпринимательства" предусматривает комплекс мер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по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: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предпринимателей. В частности мероприятия направлены на обеспечение безбумажного доступа к услугам и сервисам инфраструктуры поддержки в режиме "одного окна". Отличительной чертой проекта является формирование единой цифровой среды взаимодействия с органами власти, институтами развития, партнерами и потребителями товаров (работ, услуг). В частности, предусматривается создание комфортной цифровой </w:t>
      </w:r>
      <w:proofErr w:type="spellStart"/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эко-системы</w:t>
      </w:r>
      <w:proofErr w:type="spellEnd"/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для субъектов МСП, обеспечивающей возможность перехода с использованием ЕСИА между существующими информационными системами, образовательными платформами и сбытовыми площадками (В2С, В2В, B2G). Такой подход значительно расширит осведомленность предпринимателей о работе соответствующих цифровых платформ и упростит доступ к услугам, а также навигацию на этих ресурсах;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совершенствованию системы закупок. Система закупок крупнейших заказчиков у субъектов МСП сегодня не в полной мере обеспечивает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доступ к ней малого бизнеса. Федеральный проект предлагает меры, которые позволят решить проблему сбыта для субъектов МСП и расширить долю закупок у МСП, участниками которых являются только субъекты у МСП, до 18%, с достижением общего объема закупок у субъектов МСП к 2024 г. году в размере 5 </w:t>
      </w:r>
      <w:proofErr w:type="spellStart"/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трлн</w:t>
      </w:r>
      <w:proofErr w:type="spellEnd"/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рублей;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развитию и модернизации региональной инфраструктуры поддержки МСП, оказывающей комплекс услуг бизнесу. В частности, в рамках проекта предусмотрено развитие центров "Мой бизнес", которые объединяют на одной площадке все имеющиеся и необходимые ранее созданные организации инфраструктуры и институты развития в регионе. Также важным мероприятием федерального проекта является обеспечение производственных МСП доступными площадями в целях снижения их издержек на инвестиционной стадии - проект "Мой бизнес парк".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Расширение сектора производственных субъектов МСП путем увеличения количества таких значимых элементов инфраструктуры имущественной поддержки субъектов МСП, как промышленные парки, технопарки, промышленные технопарки позволит увеличить объем инвестиции субъектов МСП в основной капитала и создать качественно новые производства.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Субсидии субъектам Российской Федерации на развитие региональной инфраструктуры поддержки МСП будут предоставляться на условиях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софинансирования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(частный капитал 25 - 50%, региональный и федеральный бюджеты), приоритет будет отдан регионам, в которых зафиксировано отсутствие либо острый дефицит таких объектов, наличие резидентов. Основные направления финансирования - реконструкция производственных и офисных зданий для резидентов, инженерной инфраструктуры (внешние и внутренние сети), закупка оборудования коллективного пользования;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содействию выхода субъектов МСП на внешние рынки. Крайне низкая доля субъектов МСП осуществляют экспортную деятельность - 6%. Выход на внешние рынки позволяет субъекту МСП развиваться как экстенсивно, так и интенсивно. Потенциал в этом направлении достаточно большой, особенно в высокотехнологичных отраслях. В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осуществлении субъектами МСП экспортной деятельности есть проблемы и недостаточной заинтересованности малого бизнеса выходить на экспорт, и наличия барьеров для экспорта, которые в основном лежат в плоскости технического регулирования. В комплекс мер поддержки МСП в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несырьевом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экспорте входят специальные кредитные программы, развитие сети центров поддержки экспорта МСП в регионах и реализация региональных программ поддержки.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Федеральный проект "Создание системы поддержки фермеров и развитие сельской кооперации" предусматривает создание условий для повышения занятости и доходов сельского населения, вовлеченного в сельскохозяйственную кооперацию, вовлечения продукции, произведенной личными подсобными хозяйствами граждан, в официальный товарооборот, повышения конкурентоспособности продукции, производимой малыми формами хозяйствования, роста доходности крестьянских (фермерских) хозяйств, стимулирования прироста количества крестьянских (фермерских) хозяйств и сельскохозяйственных кооперативов, а также оптимизацию реализуемых механизмов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государственной поддержки фермеров и сельскохозяйственных кооперативов в целях содействия производству и сбыту сельскохозяйственной продукции.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Федеральный проект "Популяризация предпринимательства" направлен на повышение привлекательности предпринимательства и стимулирование интереса различных групп граждан к бизнесу как к той форме занятости, которая обеспечит достойный образ жизни, и как следствие рост численности занятых в сфере малого и среднего бизнеса.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Федеральный проект направлен на решение трех ключевых задач: создание положительного образа предпринимателя, выявление людей, склонных к ведению бизнеса, и их активное вовлечение в предпринимательскую деятельность. В рамах реализации федерального проекта предусматривается "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таргетирование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" мероприятий по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>выявленным группам целевой аудитории, что позволит значительно повысить эффективность коммуникации.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На решение указанных задач направлен комплекс мероприятий, в том числе проведение социологических исследований, в целях определения факторов, определяющих интерес граждан к осуществлению предпринимательской деятельности, реализация федеральных информационных кампаний, разработка и проведение образовательных программ, курсов, в том числе модульных, а также методик, направленных на развитие предпринимательских компетенций для каждой целевой группы: школьники, студенты, женщины, военнослужащие, уволенные в запас, пенсионеры, безработные, инвалиды.</w:t>
      </w:r>
      <w:proofErr w:type="gramEnd"/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1" w:lineRule="atLeast"/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</w:pPr>
      <w:r w:rsidRPr="0089372C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>------------------------------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Под индивидуальным и малым предпринимательством в рамках настоящего паспорта приоритетного проекта понимаются юридические лица и индивидуальные предприниматели, отнесенные в соответствии с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30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Федеральным законом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от 24 июля 2007 г. N 209-ФЗ "О развитии малого и среднего предпринимательства в Российской Федерации" к малым предприятиям и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микропредприятиям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1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алее - национальный проект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2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случае: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- выделения бюджетных ассигнований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из федерального бюджета на предоставление субсидий из федерального бюджета российским кредитным организациям на возмещение недополученных ими доходов по кредитам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, выданным субъектам малого и среднего предпринимательства на реализацию проектов в приоритетных отраслях по льготным ставкам;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- выделения бюджетных ассигнований из федерального бюджета для покрытия расходов на образование резервов по гарантиям и поручительствам в целях увеличения объемов гарантийной поддержки в 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lastRenderedPageBreak/>
        <w:t xml:space="preserve">рамках Национальной гарантийной системы и (или)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докапитализацию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Национальной гарантийной системы в целях обеспечения финансовой поддержки субъектов МСП, в тех отраслях, где субсидирование перестает быть маржинальным для банков (субъекты МСП, реализующие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стартап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проекты в приоритетных отраслях, "быстрорастущие" инновационные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высокотехнологичные предприятия 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-"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газели", проекты, реализуемые на территории ДФО и моногородов, а также сельскохозяйственные кооперативы, фермерские хозяйства и т.д.);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- обеспечения со стороны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Минвостокразвития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России совместно с органами исполнительной власти субъектов Российской Федерации, входящих в состав Дальневосточного федерального округа выполнения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31" w:anchor="block_5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п. 5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Поручения Президента Российской Федерации по итогам рабочей поездки в Дальневосточный федеральный округ 5 - 8 сентября 2017 г. N Пр-1968 от 27 сентября 2017 г. по формированию портфеля приоритетных проектов, которым необходима льготная кредитная и гарантийная поддержка для реализации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их субъектами малого и среднего предпринимательства на территории Дальневосточного федерального округа в рамках программ поддержки АО "Корпорация "МСП";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- достижения темпов прироста количества субъектов малого и среднего предпринимательства на территории субъектов Российской Федерации Дальневосточного федерального округа и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Северо-Кавказского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федерального округа пропорционально росту объема консолидированной финансовой поддержки, оказанной субъектам малого и среднего предпринимательства в рамках НГС.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3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В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случае выделения в 2019 году бюджетных ассигнований из федерального бюджета на предоставление субсидии бюджету Республики Крым для целей создания межрегиональной лизинговой компании в Республике Крым".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lastRenderedPageBreak/>
        <w:t>4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од информационными системами понимается совокупность сервисов маркетинговой, информационной, образовательной, сбытовой и иной поддержки субъектов МСП и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5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од информационными системами понимается совокупность сервисов маркетинговой, информационной, образовательной, сбытовой и иной поддержки субъектов МСП и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самозанятых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6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Достижение показателя будет обеспечивать объем закупок, приходящихся на субъекты МСП на территории Дальневосточного федерального округа или </w:t>
      </w:r>
      <w:proofErr w:type="spellStart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Северо-Кавказского</w:t>
      </w:r>
      <w:proofErr w:type="spell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 xml:space="preserve"> федерального округа, в объеме, превышающем среднее значение показателя по Российской Федерации (при условии исключения при расчете среднего значения показателя объемов закупок у субъектов МСП, зарегистрированных на территории города федерального значения Москвы).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7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ассчитывается по правилам, предусмотренным для расчета годового объема закупок у субъектов МСП в соответствии с</w:t>
      </w:r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hyperlink r:id="rId32" w:history="1">
        <w:r w:rsidRPr="0089372C">
          <w:rPr>
            <w:rFonts w:ascii="Times New Roman" w:eastAsia="Times New Roman" w:hAnsi="Times New Roman" w:cs="Times New Roman"/>
            <w:color w:val="3272C0"/>
            <w:sz w:val="30"/>
            <w:lang w:eastAsia="ru-RU"/>
          </w:rPr>
          <w:t>постановлением</w:t>
        </w:r>
      </w:hyperlink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Правительства Российской Федерации от 11 декабря 2014 г. N 1352.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r w:rsidRPr="0089372C">
        <w:rPr>
          <w:rFonts w:ascii="Times New Roman" w:eastAsia="Times New Roman" w:hAnsi="Times New Roman" w:cs="Times New Roman"/>
          <w:color w:val="464C55"/>
          <w:vertAlign w:val="superscript"/>
          <w:lang w:eastAsia="ru-RU"/>
        </w:rPr>
        <w:t>8</w:t>
      </w:r>
      <w:proofErr w:type="gramStart"/>
      <w:r w:rsidRPr="0089372C">
        <w:rPr>
          <w:rFonts w:ascii="Times New Roman" w:eastAsia="Times New Roman" w:hAnsi="Times New Roman" w:cs="Times New Roman"/>
          <w:color w:val="464C55"/>
          <w:sz w:val="30"/>
          <w:lang w:eastAsia="ru-RU"/>
        </w:rPr>
        <w:t> </w:t>
      </w:r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П</w:t>
      </w:r>
      <w:proofErr w:type="gramEnd"/>
      <w:r w:rsidRPr="0089372C"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  <w:t>ри условии внесения изменений в законодательство Российской Федерации в части признания личных подсобных хозяйств, вступивших в кооператив в качестве членов, занятыми в сфере малого и среднего предпринимательства.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7. Методика расчета целей, целевых и дополнительных показателей национального проекта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207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"/>
        <w:gridCol w:w="2878"/>
        <w:gridCol w:w="3002"/>
        <w:gridCol w:w="4862"/>
        <w:gridCol w:w="2216"/>
        <w:gridCol w:w="2600"/>
        <w:gridCol w:w="2205"/>
        <w:gridCol w:w="2317"/>
      </w:tblGrid>
      <w:tr w:rsidR="0089372C" w:rsidRPr="0089372C" w:rsidTr="0089372C"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Методика расчета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Базовые показатели</w:t>
            </w:r>
          </w:p>
        </w:tc>
        <w:tc>
          <w:tcPr>
            <w:tcW w:w="3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Источник данных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Ответственный за сбор данных</w:t>
            </w:r>
            <w:r w:rsidRPr="0089372C">
              <w:rPr>
                <w:rFonts w:ascii="Times New Roman" w:eastAsia="Times New Roman" w:hAnsi="Times New Roman" w:cs="Times New Roman"/>
                <w:color w:val="464C55"/>
                <w:vertAlign w:val="superscript"/>
                <w:lang w:eastAsia="ru-RU"/>
              </w:rPr>
              <w:t> 2</w:t>
            </w:r>
            <w:proofErr w:type="gramEnd"/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Уровень агрегирования информации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Срок и периодичность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Дополнительная информация</w:t>
            </w:r>
          </w:p>
        </w:tc>
      </w:tr>
      <w:tr w:rsidR="0089372C" w:rsidRPr="0089372C" w:rsidTr="0089372C">
        <w:tc>
          <w:tcPr>
            <w:tcW w:w="20775" w:type="dxa"/>
            <w:gridSpan w:val="8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1. Численность занятых в сфере малого и среднего предпринимательства, включая индивидуальных предпринимателей, млн. чел.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Численность занятых в сфере МСП, включая ИП = ИП + малые +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микро+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средние +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физические лица, поставленные на учет в качестве налогоплательщиков налога на профессиональный доход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ИП - количество индивидуальных предпринимателей, включая среднесписочную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численность их работников;</w:t>
            </w:r>
          </w:p>
        </w:tc>
        <w:tc>
          <w:tcPr>
            <w:tcW w:w="3675" w:type="dxa"/>
            <w:vMerge w:val="restart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Сумма среднесписочной численности работников, занятых у субъектов МСП (юридических лиц и индивидуальных предпринимателей, привлекавших в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году, предшествующих году формирования единого реестра МСП, наемных работников), размещенная в открытом доступе на официальном сайте Федеральной налоговой службы в информационно-телекоммуникационной сети "Интернет" (https://rmsp.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nalog.ru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/); Сведения о работе по государственной регистрации индивидуальных предпринимателей и крестьянских (фермерских) хозяйств (Отчет по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33" w:anchor="block_300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форме N 1-ИП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), </w:t>
            </w: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размещенная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открытом доступе на сайте ФНС России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(https ://rmsp. nalog.ru/rn7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7/related_activities/registration_ip_yl).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Российской Федерации, субъектам Российской Федерации,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федеральным округам, категориям МСП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Малые - среднесписочная численность работников, занятых на малых предприятиях (без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микропредприятий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количество человек;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ФНС России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Федерации, субъектам Российской Федерации, федеральным округам, видам экономической деятельности, категориям МСП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ежемесячно, ежеквартально, ежегодно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Микро - среднесписочная численность работников, занятых на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микропредприятиях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количество человек;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Федерации, субъектам Российской Федерации,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федеральным округам, видам экономической деятельности, категориям МСП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Средние</w:t>
            </w:r>
            <w:proofErr w:type="gram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среднесписочная численность работников, занятых на средних предприятиях, количество человек;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Федерации, субъектам Российской Федерации, федеральным округам, видам экономической деятельности, категориям МСП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ежемесячно, ежеквартально, ежегодно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Физические лица, поставленные на учет 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качестве налогоплательщиков налога на профессиональный доход, количество человек.</w:t>
            </w:r>
          </w:p>
        </w:tc>
        <w:tc>
          <w:tcPr>
            <w:tcW w:w="36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Программное обеспечение ФНС России АИС "НАЛОГ-3"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ФНС России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Федерации,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 субъектам Российской Федерации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ежеквартально, ежегодно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20775" w:type="dxa"/>
            <w:gridSpan w:val="8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lastRenderedPageBreak/>
              <w:t>2. Доля малого и среднего предпринимательства в ВВП, проценты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Добавленная стоимость, созданная в секторе МСП, по отношению к валовой добавленной стоимости по экономике в целом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Объем добавленной стоимости сектора МСП, млрд.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руб</w:t>
            </w:r>
            <w:proofErr w:type="spellEnd"/>
          </w:p>
        </w:tc>
        <w:tc>
          <w:tcPr>
            <w:tcW w:w="367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Периодическая отчетность,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34" w:anchor="block_500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1-ИП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hyperlink r:id="rId35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приказ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Росстата от 11 августа 2016 г. N 414</w:t>
            </w:r>
          </w:p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Периодическая отчетность,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begin"/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instrText xml:space="preserve"> HYPERLINK "https://base.garant.ru/71469040/" \l "block_16000" </w:instrTex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separate"/>
            </w:r>
            <w:r w:rsidRPr="0089372C">
              <w:rPr>
                <w:rFonts w:ascii="Times New Roman" w:eastAsia="Times New Roman" w:hAnsi="Times New Roman" w:cs="Times New Roman"/>
                <w:color w:val="3272C0"/>
                <w:sz w:val="30"/>
                <w:lang w:eastAsia="ru-RU"/>
              </w:rPr>
              <w:t>ПМ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end"/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hyperlink r:id="rId36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приказ</w:t>
              </w:r>
              <w:proofErr w:type="spellEnd"/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Росстата от 11 августа 2016 г. N 414</w:t>
            </w:r>
          </w:p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Периодическая отчетность,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37" w:anchor="block_400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МП (микро)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38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приказ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Росстата</w:t>
            </w:r>
          </w:p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11 августа 2016 г. N 414</w:t>
            </w:r>
          </w:p>
          <w:p w:rsidR="0089372C" w:rsidRPr="0089372C" w:rsidRDefault="0089372C" w:rsidP="0089372C">
            <w:pPr>
              <w:spacing w:after="0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39" w:anchor="block_100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Форма N 1-предприятие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утвержденная</w:t>
            </w:r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hyperlink r:id="rId40" w:history="1">
              <w:r w:rsidRPr="0089372C">
                <w:rPr>
                  <w:rFonts w:ascii="Times New Roman" w:eastAsia="Times New Roman" w:hAnsi="Times New Roman" w:cs="Times New Roman"/>
                  <w:color w:val="3272C0"/>
                  <w:sz w:val="30"/>
                  <w:lang w:eastAsia="ru-RU"/>
                </w:rPr>
                <w:t>Приказом</w:t>
              </w:r>
            </w:hyperlink>
            <w:r w:rsidRPr="0089372C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Росстата от 27 июля 2018 г. N 461 "Об утверждении статистического инструментария для организации федерального статистического наблюдения за деятельностью предприятий"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Росстат ФНС России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ежегодно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72C" w:rsidRPr="0089372C" w:rsidTr="0089372C">
        <w:tc>
          <w:tcPr>
            <w:tcW w:w="20775" w:type="dxa"/>
            <w:gridSpan w:val="8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3. Доля экспорта субъектов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 экспорта, проценты</w:t>
            </w:r>
          </w:p>
        </w:tc>
      </w:tr>
      <w:tr w:rsidR="0089372C" w:rsidRPr="0089372C" w:rsidTr="0089372C">
        <w:tc>
          <w:tcPr>
            <w:tcW w:w="885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Объем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 малых и средних предприятий по отношению к общему объему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</w:t>
            </w:r>
          </w:p>
        </w:tc>
        <w:tc>
          <w:tcPr>
            <w:tcW w:w="325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Объем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 малых и средних предприятий, тыс. долл.; Общий объем 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несырьевого</w:t>
            </w:r>
            <w:proofErr w:type="spellEnd"/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экспорта, тыс. долл.</w:t>
            </w:r>
          </w:p>
        </w:tc>
        <w:tc>
          <w:tcPr>
            <w:tcW w:w="367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ФТС России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ФТС России</w:t>
            </w:r>
          </w:p>
        </w:tc>
        <w:tc>
          <w:tcPr>
            <w:tcW w:w="352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Российской Федерации</w:t>
            </w:r>
          </w:p>
        </w:tc>
        <w:tc>
          <w:tcPr>
            <w:tcW w:w="22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ежемесячно, ежеквартально, ежегодно</w:t>
            </w:r>
          </w:p>
        </w:tc>
        <w:tc>
          <w:tcPr>
            <w:tcW w:w="2130" w:type="dxa"/>
            <w:shd w:val="clear" w:color="auto" w:fill="FFFFFF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9372C" w:rsidRPr="0089372C" w:rsidRDefault="0089372C" w:rsidP="0089372C">
      <w:pPr>
        <w:shd w:val="clear" w:color="auto" w:fill="FFFFFF"/>
        <w:spacing w:after="374" w:line="421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 xml:space="preserve">8. Оценка вклада федеральных проектов, предусмотренных национальным проектом, в </w:t>
      </w:r>
      <w:r w:rsidRPr="0089372C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lastRenderedPageBreak/>
        <w:t>достижение национальных целей развития Российской Федерации на период до 2024 г. года</w:t>
      </w:r>
    </w:p>
    <w:p w:rsidR="0089372C" w:rsidRPr="0089372C" w:rsidRDefault="0089372C" w:rsidP="0089372C">
      <w:pPr>
        <w:shd w:val="clear" w:color="auto" w:fill="FFFFFF"/>
        <w:spacing w:after="0" w:line="421" w:lineRule="atLeas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937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5250"/>
        <w:gridCol w:w="3780"/>
      </w:tblGrid>
      <w:tr w:rsidR="0089372C" w:rsidRPr="0089372C" w:rsidTr="0089372C">
        <w:tc>
          <w:tcPr>
            <w:tcW w:w="10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 xml:space="preserve">N </w:t>
            </w:r>
            <w:proofErr w:type="spellStart"/>
            <w:proofErr w:type="gram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/</w:t>
            </w:r>
            <w:proofErr w:type="spellStart"/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Наименование федерального проекта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Оценка влияния на достижение национальных целей (процентов)</w:t>
            </w:r>
          </w:p>
        </w:tc>
      </w:tr>
      <w:tr w:rsidR="0089372C" w:rsidRPr="0089372C" w:rsidTr="0089372C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72C" w:rsidRPr="0089372C" w:rsidRDefault="0089372C" w:rsidP="0089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</w:t>
            </w:r>
          </w:p>
        </w:tc>
      </w:tr>
      <w:tr w:rsidR="0089372C" w:rsidRPr="0089372C" w:rsidTr="0089372C">
        <w:tc>
          <w:tcPr>
            <w:tcW w:w="10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2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Улучшение условий ведения предпринимательской деятельности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4,44%</w:t>
            </w:r>
          </w:p>
        </w:tc>
      </w:tr>
      <w:tr w:rsidR="0089372C" w:rsidRPr="0089372C" w:rsidTr="0089372C">
        <w:tc>
          <w:tcPr>
            <w:tcW w:w="10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2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6,19%</w:t>
            </w:r>
          </w:p>
        </w:tc>
      </w:tr>
      <w:tr w:rsidR="0089372C" w:rsidRPr="0089372C" w:rsidTr="0089372C">
        <w:tc>
          <w:tcPr>
            <w:tcW w:w="10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2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9,32%</w:t>
            </w:r>
          </w:p>
        </w:tc>
      </w:tr>
      <w:tr w:rsidR="0089372C" w:rsidRPr="0089372C" w:rsidTr="0089372C">
        <w:tc>
          <w:tcPr>
            <w:tcW w:w="10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2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0,56%</w:t>
            </w:r>
          </w:p>
        </w:tc>
      </w:tr>
      <w:tr w:rsidR="0089372C" w:rsidRPr="0089372C" w:rsidTr="0089372C">
        <w:tc>
          <w:tcPr>
            <w:tcW w:w="10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235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Популяризация предпринимательства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2,32%</w:t>
            </w:r>
          </w:p>
        </w:tc>
      </w:tr>
      <w:tr w:rsidR="0089372C" w:rsidRPr="0089372C" w:rsidTr="0089372C">
        <w:tc>
          <w:tcPr>
            <w:tcW w:w="6285" w:type="dxa"/>
            <w:gridSpan w:val="2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Итого оценка влияния федеральных проектов на достижение национальных целей (процентов)</w:t>
            </w:r>
          </w:p>
        </w:tc>
        <w:tc>
          <w:tcPr>
            <w:tcW w:w="3780" w:type="dxa"/>
            <w:shd w:val="clear" w:color="auto" w:fill="FFFFFF"/>
            <w:hideMark/>
          </w:tcPr>
          <w:p w:rsidR="0089372C" w:rsidRPr="0089372C" w:rsidRDefault="0089372C" w:rsidP="0089372C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89372C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22,83%</w:t>
            </w:r>
          </w:p>
        </w:tc>
      </w:tr>
    </w:tbl>
    <w:p w:rsidR="00D14ACF" w:rsidRDefault="00D14ACF"/>
    <w:sectPr w:rsidR="00D14ACF" w:rsidSect="00D1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372C"/>
    <w:rsid w:val="0089372C"/>
    <w:rsid w:val="00D1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F"/>
  </w:style>
  <w:style w:type="paragraph" w:styleId="1">
    <w:name w:val="heading 1"/>
    <w:basedOn w:val="a"/>
    <w:link w:val="10"/>
    <w:uiPriority w:val="9"/>
    <w:qFormat/>
    <w:rsid w:val="00893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72C"/>
  </w:style>
  <w:style w:type="character" w:styleId="a4">
    <w:name w:val="Hyperlink"/>
    <w:basedOn w:val="a0"/>
    <w:uiPriority w:val="99"/>
    <w:semiHidden/>
    <w:unhideWhenUsed/>
    <w:rsid w:val="008937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372C"/>
    <w:rPr>
      <w:color w:val="800080"/>
      <w:u w:val="single"/>
    </w:rPr>
  </w:style>
  <w:style w:type="paragraph" w:customStyle="1" w:styleId="s9">
    <w:name w:val="s_9"/>
    <w:basedOn w:val="a"/>
    <w:rsid w:val="0089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7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2174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4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3534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24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557250/" TargetMode="External"/><Relationship Id="rId13" Type="http://schemas.openxmlformats.org/officeDocument/2006/relationships/hyperlink" Target="https://base.garant.ru/75008713/" TargetMode="External"/><Relationship Id="rId18" Type="http://schemas.openxmlformats.org/officeDocument/2006/relationships/hyperlink" Target="https://base.garant.ru/70819336/" TargetMode="External"/><Relationship Id="rId26" Type="http://schemas.openxmlformats.org/officeDocument/2006/relationships/hyperlink" Target="https://base.garant.ru/72185938/3fbdb6decf5046c32d9c4b66bce84457/" TargetMode="External"/><Relationship Id="rId39" Type="http://schemas.openxmlformats.org/officeDocument/2006/relationships/hyperlink" Target="https://base.garant.ru/7200045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2185938/3fbdb6decf5046c32d9c4b66bce84457/" TargetMode="External"/><Relationship Id="rId34" Type="http://schemas.openxmlformats.org/officeDocument/2006/relationships/hyperlink" Target="https://base.garant.ru/71469040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ase.garant.ru/73557250/" TargetMode="External"/><Relationship Id="rId12" Type="http://schemas.openxmlformats.org/officeDocument/2006/relationships/hyperlink" Target="https://base.garant.ru/72185938/3fbdb6decf5046c32d9c4b66bce84457/" TargetMode="External"/><Relationship Id="rId17" Type="http://schemas.openxmlformats.org/officeDocument/2006/relationships/hyperlink" Target="https://base.garant.ru/72185938/3fbdb6decf5046c32d9c4b66bce84457/" TargetMode="External"/><Relationship Id="rId25" Type="http://schemas.openxmlformats.org/officeDocument/2006/relationships/hyperlink" Target="https://base.garant.ru/72302250/" TargetMode="External"/><Relationship Id="rId33" Type="http://schemas.openxmlformats.org/officeDocument/2006/relationships/hyperlink" Target="https://base.garant.ru/73226375/" TargetMode="External"/><Relationship Id="rId38" Type="http://schemas.openxmlformats.org/officeDocument/2006/relationships/hyperlink" Target="https://base.garant.ru/714690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185938/3fbdb6decf5046c32d9c4b66bce84457/" TargetMode="External"/><Relationship Id="rId20" Type="http://schemas.openxmlformats.org/officeDocument/2006/relationships/hyperlink" Target="https://base.garant.ru/72185938/3fbdb6decf5046c32d9c4b66bce84457/" TargetMode="External"/><Relationship Id="rId29" Type="http://schemas.openxmlformats.org/officeDocument/2006/relationships/hyperlink" Target="https://base.garant.ru/10180094/184a874535186e5f477be2949374cc83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1937200/942b73ea3b67b072ee4fe96d9b80ab5e/" TargetMode="External"/><Relationship Id="rId11" Type="http://schemas.openxmlformats.org/officeDocument/2006/relationships/hyperlink" Target="https://base.garant.ru/72185938/3fbdb6decf5046c32d9c4b66bce84457/" TargetMode="External"/><Relationship Id="rId24" Type="http://schemas.openxmlformats.org/officeDocument/2006/relationships/hyperlink" Target="https://base.garant.ru/73029248/" TargetMode="External"/><Relationship Id="rId32" Type="http://schemas.openxmlformats.org/officeDocument/2006/relationships/hyperlink" Target="https://base.garant.ru/70819336/" TargetMode="External"/><Relationship Id="rId37" Type="http://schemas.openxmlformats.org/officeDocument/2006/relationships/hyperlink" Target="https://base.garant.ru/71469040/" TargetMode="External"/><Relationship Id="rId40" Type="http://schemas.openxmlformats.org/officeDocument/2006/relationships/hyperlink" Target="https://base.garant.ru/72000452/" TargetMode="External"/><Relationship Id="rId5" Type="http://schemas.openxmlformats.org/officeDocument/2006/relationships/hyperlink" Target="https://base.garant.ru/71937200/942b73ea3b67b072ee4fe96d9b80ab5e/" TargetMode="External"/><Relationship Id="rId15" Type="http://schemas.openxmlformats.org/officeDocument/2006/relationships/hyperlink" Target="https://base.garant.ru/73557462/" TargetMode="External"/><Relationship Id="rId23" Type="http://schemas.openxmlformats.org/officeDocument/2006/relationships/hyperlink" Target="https://base.garant.ru/73029248/" TargetMode="External"/><Relationship Id="rId28" Type="http://schemas.openxmlformats.org/officeDocument/2006/relationships/hyperlink" Target="https://base.garant.ru/71937200/942b73ea3b67b072ee4fe96d9b80ab5e/" TargetMode="External"/><Relationship Id="rId36" Type="http://schemas.openxmlformats.org/officeDocument/2006/relationships/hyperlink" Target="https://base.garant.ru/71469040/" TargetMode="External"/><Relationship Id="rId10" Type="http://schemas.openxmlformats.org/officeDocument/2006/relationships/hyperlink" Target="https://base.garant.ru/72185938/3fbdb6decf5046c32d9c4b66bce84457/" TargetMode="External"/><Relationship Id="rId19" Type="http://schemas.openxmlformats.org/officeDocument/2006/relationships/hyperlink" Target="https://base.garant.ru/12188083/" TargetMode="External"/><Relationship Id="rId31" Type="http://schemas.openxmlformats.org/officeDocument/2006/relationships/hyperlink" Target="https://base.garant.ru/71776202/" TargetMode="External"/><Relationship Id="rId4" Type="http://schemas.openxmlformats.org/officeDocument/2006/relationships/hyperlink" Target="https://base.garant.ru/71937200/" TargetMode="External"/><Relationship Id="rId9" Type="http://schemas.openxmlformats.org/officeDocument/2006/relationships/hyperlink" Target="https://base.garant.ru/72185938/3fbdb6decf5046c32d9c4b66bce84457/" TargetMode="External"/><Relationship Id="rId14" Type="http://schemas.openxmlformats.org/officeDocument/2006/relationships/hyperlink" Target="https://base.garant.ru/73557462/" TargetMode="External"/><Relationship Id="rId22" Type="http://schemas.openxmlformats.org/officeDocument/2006/relationships/hyperlink" Target="https://base.garant.ru/72185938/3fbdb6decf5046c32d9c4b66bce84457/" TargetMode="External"/><Relationship Id="rId27" Type="http://schemas.openxmlformats.org/officeDocument/2006/relationships/hyperlink" Target="https://base.garant.ru/72185938/3fbdb6decf5046c32d9c4b66bce84457/" TargetMode="External"/><Relationship Id="rId30" Type="http://schemas.openxmlformats.org/officeDocument/2006/relationships/hyperlink" Target="https://base.garant.ru/12154854/" TargetMode="External"/><Relationship Id="rId35" Type="http://schemas.openxmlformats.org/officeDocument/2006/relationships/hyperlink" Target="https://base.garant.ru/71469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11879</Words>
  <Characters>67711</Characters>
  <Application>Microsoft Office Word</Application>
  <DocSecurity>0</DocSecurity>
  <Lines>564</Lines>
  <Paragraphs>158</Paragraphs>
  <ScaleCrop>false</ScaleCrop>
  <Company>Grizli777</Company>
  <LinksUpToDate>false</LinksUpToDate>
  <CharactersWithSpaces>79432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2021-06-29T08:04:00Z</dcterms:created>
  <dcterms:modified xsi:type="dcterms:W3CDTF">2021-06-29T08:05:00Z</dcterms:modified>
</cp:coreProperties>
</file>