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ПРОЕКТ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 внесении изменений в постановление администрации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 №40-пг от 18 .10.2012г.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«Об утверждении положения об оплате труда работников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b w:val="0"/>
          <w:bCs w:val="0"/>
          <w:color w:val="000000"/>
        </w:rPr>
        <w:t>В соответствии со статьей 144 Трудового кодекса Российской Федерации, руководствуясь уставом Мельничного сельсовета, ПОСТАНОВЛЯЮ: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1.Внести в постановление администрации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 № 40 </w:t>
      </w:r>
      <w:proofErr w:type="spellStart"/>
      <w:r>
        <w:rPr>
          <w:color w:val="000000"/>
        </w:rPr>
        <w:t>пг</w:t>
      </w:r>
      <w:proofErr w:type="spellEnd"/>
      <w:r>
        <w:rPr>
          <w:color w:val="000000"/>
        </w:rPr>
        <w:t xml:space="preserve"> от 18.10.2012 «Об утверждении положения об оплате труда работников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 следующие изменения: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В приложении 1 положения об оплате труда работников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края»: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пункт 4.8 части 4 дополнить подпунктом 4.8.4. следующего содержания: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«Персональная краевая выплата работникам, реализующим основную деятельность учреждений культуры (далее – основной персонал учреждений культуры) в размере 3450 рублей на одного работника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  <w:proofErr w:type="gramEnd"/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Персональная краевая выплата работникам основного персонала учреждений культуры устанавливается на основании приказа руководителя учреждения.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Персональная краевая выплата работникам основного персонала учреждений культуры производится сверх начисленной работнику месячной заработной платы (с учетом компенсационных выплат, в том числе доплаты до размера минимальной заработной платы (минимального </w:t>
      </w:r>
      <w:proofErr w:type="gramStart"/>
      <w:r>
        <w:rPr>
          <w:color w:val="000000"/>
        </w:rPr>
        <w:t>размера оплаты труда</w:t>
      </w:r>
      <w:proofErr w:type="gramEnd"/>
      <w:r>
        <w:rPr>
          <w:color w:val="000000"/>
        </w:rPr>
        <w:t>), региональной выплаты и выплат стимулирующего характера), пропорционально отработанному времени».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0C0CFD" w:rsidRDefault="000C0CFD" w:rsidP="000C0CF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3.Настоящее решение вступает в силу в день, следующий за днем его официального опубликования в газете «Вестник органов местного самоуправления с. Мельничного и применяется к правоотношениям, возникшим с 01 июня 2017 года.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FD"/>
    <w:rsid w:val="000C0CFD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C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2019-02-28T15:22:00Z</dcterms:created>
  <dcterms:modified xsi:type="dcterms:W3CDTF">2019-02-28T15:23:00Z</dcterms:modified>
</cp:coreProperties>
</file>